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E5" w:rsidRPr="001B6000" w:rsidRDefault="009C7CAD">
      <w:pPr>
        <w:rPr>
          <w:b/>
        </w:rPr>
      </w:pPr>
      <w:r w:rsidRPr="001B6000">
        <w:rPr>
          <w:b/>
          <w:lang w:val="id-ID"/>
        </w:rPr>
        <w:t>NOTE</w:t>
      </w:r>
      <w:r w:rsidR="00FA1F0C">
        <w:rPr>
          <w:b/>
          <w:lang w:val="id-ID"/>
        </w:rPr>
        <w:t>S</w:t>
      </w:r>
      <w:r w:rsidRPr="001B6000">
        <w:rPr>
          <w:b/>
        </w:rPr>
        <w:t xml:space="preserve"> 2</w:t>
      </w:r>
    </w:p>
    <w:p w:rsidR="00981118" w:rsidRPr="001B6000" w:rsidRDefault="00272BB3">
      <w:pPr>
        <w:rPr>
          <w:b/>
          <w:lang w:val="id-ID"/>
        </w:rPr>
      </w:pPr>
      <w:r w:rsidRPr="001B6000">
        <w:rPr>
          <w:b/>
          <w:lang w:val="id-ID"/>
        </w:rPr>
        <w:t xml:space="preserve">CPA FIRM AND </w:t>
      </w:r>
      <w:r w:rsidR="00FE5484" w:rsidRPr="001B6000">
        <w:rPr>
          <w:b/>
        </w:rPr>
        <w:t xml:space="preserve">AUDITING </w:t>
      </w:r>
      <w:r w:rsidR="009C7CAD" w:rsidRPr="001B6000">
        <w:rPr>
          <w:b/>
          <w:lang w:val="id-ID"/>
        </w:rPr>
        <w:t>STANDARDS</w:t>
      </w:r>
    </w:p>
    <w:p w:rsidR="00FE5484" w:rsidRDefault="00FE5484"/>
    <w:p w:rsidR="00705942" w:rsidRPr="002B26EC" w:rsidRDefault="00C6206C" w:rsidP="00C6206C">
      <w:pPr>
        <w:ind w:left="0" w:firstLine="0"/>
        <w:jc w:val="left"/>
        <w:rPr>
          <w:sz w:val="32"/>
          <w:lang w:val="id-ID"/>
        </w:rPr>
      </w:pPr>
      <w:r w:rsidRPr="002B26EC">
        <w:rPr>
          <w:sz w:val="32"/>
          <w:lang w:val="id-ID"/>
        </w:rPr>
        <w:t>Notes that auditing plays important role to reduce information risk, it is the risk of making inappropriate decision due to the use of unreliable information, in this cont</w:t>
      </w:r>
      <w:bookmarkStart w:id="0" w:name="_GoBack"/>
      <w:bookmarkEnd w:id="0"/>
      <w:r w:rsidRPr="002B26EC">
        <w:rPr>
          <w:sz w:val="32"/>
          <w:lang w:val="id-ID"/>
        </w:rPr>
        <w:t>ext is unreliable financial statements. The auditing standards are needed to ensure the quality of auditing performance which is conducted by CPA (Certified Public Accountants) through CPA Firms.</w:t>
      </w:r>
    </w:p>
    <w:p w:rsidR="00C6206C" w:rsidRDefault="00C6206C" w:rsidP="00C6206C">
      <w:pPr>
        <w:ind w:left="0" w:firstLine="0"/>
        <w:jc w:val="left"/>
        <w:rPr>
          <w:lang w:val="id-ID"/>
        </w:rPr>
      </w:pPr>
    </w:p>
    <w:p w:rsidR="00C6206C" w:rsidRDefault="00C6206C" w:rsidP="00C6206C">
      <w:pPr>
        <w:ind w:left="0" w:firstLine="0"/>
        <w:jc w:val="left"/>
        <w:rPr>
          <w:lang w:val="id-ID"/>
        </w:rPr>
      </w:pPr>
      <w:r>
        <w:rPr>
          <w:lang w:val="id-ID"/>
        </w:rPr>
        <w:t>CPA FIRMS</w:t>
      </w:r>
    </w:p>
    <w:p w:rsidR="00C6206C" w:rsidRPr="002B26EC" w:rsidRDefault="00C6206C" w:rsidP="00C6206C">
      <w:pPr>
        <w:ind w:left="0" w:firstLine="0"/>
        <w:jc w:val="left"/>
        <w:rPr>
          <w:sz w:val="32"/>
          <w:lang w:val="id-ID"/>
        </w:rPr>
      </w:pPr>
    </w:p>
    <w:p w:rsidR="00C6206C" w:rsidRPr="002B26EC" w:rsidRDefault="00C6206C" w:rsidP="00C6206C">
      <w:pPr>
        <w:ind w:left="0" w:firstLine="0"/>
        <w:jc w:val="left"/>
        <w:rPr>
          <w:sz w:val="32"/>
          <w:lang w:val="id-ID"/>
        </w:rPr>
      </w:pPr>
      <w:r w:rsidRPr="002B26EC">
        <w:rPr>
          <w:sz w:val="32"/>
          <w:lang w:val="id-ID"/>
        </w:rPr>
        <w:t xml:space="preserve">CPA Firm is a firm or office which is used by CPA to deliver </w:t>
      </w:r>
      <w:r w:rsidR="00864289" w:rsidRPr="002B26EC">
        <w:rPr>
          <w:sz w:val="32"/>
          <w:lang w:val="id-ID"/>
        </w:rPr>
        <w:t>assurance and non assurance services in accounting field. The big four CPA firm in US are: (1) Deloite, (2) PricewaterhouseCoopers, (3) Earnst &amp; Young, (4) KPMG. To open a CPA Firm, one must have certification as CPA. In US the CPA firm are classified into (1) big four international firms, (2) national firms, (3) regional and large local firms, and (4) small local firms. See table 2-1, page 46 Arens.</w:t>
      </w:r>
    </w:p>
    <w:p w:rsidR="00864289" w:rsidRDefault="00864289" w:rsidP="00C6206C">
      <w:pPr>
        <w:ind w:left="0" w:firstLine="0"/>
        <w:jc w:val="left"/>
        <w:rPr>
          <w:lang w:val="id-ID"/>
        </w:rPr>
      </w:pPr>
    </w:p>
    <w:p w:rsidR="00864289" w:rsidRPr="002B26EC" w:rsidRDefault="00864289" w:rsidP="00C6206C">
      <w:pPr>
        <w:ind w:left="0" w:firstLine="0"/>
        <w:jc w:val="left"/>
        <w:rPr>
          <w:sz w:val="32"/>
          <w:lang w:val="id-ID"/>
        </w:rPr>
      </w:pPr>
      <w:r w:rsidRPr="002B26EC">
        <w:rPr>
          <w:sz w:val="32"/>
          <w:lang w:val="id-ID"/>
        </w:rPr>
        <w:t>THE SERVICES OF CPA FIRMS</w:t>
      </w:r>
    </w:p>
    <w:p w:rsidR="00864289" w:rsidRPr="002B26EC" w:rsidRDefault="00864289" w:rsidP="00C6206C">
      <w:pPr>
        <w:ind w:left="0" w:firstLine="0"/>
        <w:jc w:val="left"/>
        <w:rPr>
          <w:sz w:val="32"/>
          <w:lang w:val="id-ID"/>
        </w:rPr>
      </w:pPr>
    </w:p>
    <w:p w:rsidR="00864289" w:rsidRPr="002B26EC" w:rsidRDefault="00864289" w:rsidP="00864289">
      <w:pPr>
        <w:pStyle w:val="ListParagraph"/>
        <w:numPr>
          <w:ilvl w:val="0"/>
          <w:numId w:val="11"/>
        </w:numPr>
        <w:jc w:val="left"/>
        <w:rPr>
          <w:sz w:val="32"/>
          <w:lang w:val="id-ID"/>
        </w:rPr>
      </w:pPr>
      <w:r w:rsidRPr="002B26EC">
        <w:rPr>
          <w:sz w:val="32"/>
          <w:lang w:val="id-ID"/>
        </w:rPr>
        <w:t>Audit services</w:t>
      </w:r>
    </w:p>
    <w:p w:rsidR="00864289" w:rsidRPr="002B26EC" w:rsidRDefault="00864289" w:rsidP="00864289">
      <w:pPr>
        <w:pStyle w:val="ListParagraph"/>
        <w:numPr>
          <w:ilvl w:val="0"/>
          <w:numId w:val="11"/>
        </w:numPr>
        <w:jc w:val="left"/>
        <w:rPr>
          <w:sz w:val="32"/>
          <w:lang w:val="id-ID"/>
        </w:rPr>
      </w:pPr>
      <w:r w:rsidRPr="002B26EC">
        <w:rPr>
          <w:sz w:val="32"/>
          <w:lang w:val="id-ID"/>
        </w:rPr>
        <w:t>Accounting and bookeeping services</w:t>
      </w:r>
    </w:p>
    <w:p w:rsidR="00864289" w:rsidRPr="002B26EC" w:rsidRDefault="00864289" w:rsidP="00864289">
      <w:pPr>
        <w:pStyle w:val="ListParagraph"/>
        <w:numPr>
          <w:ilvl w:val="0"/>
          <w:numId w:val="11"/>
        </w:numPr>
        <w:jc w:val="left"/>
        <w:rPr>
          <w:sz w:val="32"/>
          <w:lang w:val="id-ID"/>
        </w:rPr>
      </w:pPr>
      <w:r w:rsidRPr="002B26EC">
        <w:rPr>
          <w:sz w:val="32"/>
          <w:lang w:val="id-ID"/>
        </w:rPr>
        <w:t>Tax services.</w:t>
      </w:r>
    </w:p>
    <w:p w:rsidR="00864289" w:rsidRPr="002B26EC" w:rsidRDefault="00864289" w:rsidP="00864289">
      <w:pPr>
        <w:pStyle w:val="ListParagraph"/>
        <w:numPr>
          <w:ilvl w:val="0"/>
          <w:numId w:val="11"/>
        </w:numPr>
        <w:jc w:val="left"/>
        <w:rPr>
          <w:sz w:val="32"/>
          <w:lang w:val="id-ID"/>
        </w:rPr>
      </w:pPr>
      <w:r w:rsidRPr="002B26EC">
        <w:rPr>
          <w:sz w:val="32"/>
          <w:lang w:val="id-ID"/>
        </w:rPr>
        <w:t>Management consulting services.</w:t>
      </w:r>
    </w:p>
    <w:p w:rsidR="00864289" w:rsidRPr="002B26EC" w:rsidRDefault="00864289" w:rsidP="00864289">
      <w:pPr>
        <w:pStyle w:val="ListParagraph"/>
        <w:numPr>
          <w:ilvl w:val="0"/>
          <w:numId w:val="11"/>
        </w:numPr>
        <w:jc w:val="left"/>
        <w:rPr>
          <w:sz w:val="32"/>
          <w:lang w:val="id-ID"/>
        </w:rPr>
      </w:pPr>
      <w:r w:rsidRPr="002B26EC">
        <w:rPr>
          <w:sz w:val="32"/>
          <w:lang w:val="id-ID"/>
        </w:rPr>
        <w:t>Developing accounting information systems services.</w:t>
      </w:r>
    </w:p>
    <w:p w:rsidR="00864289" w:rsidRPr="002B26EC" w:rsidRDefault="00864289" w:rsidP="00864289">
      <w:pPr>
        <w:pStyle w:val="ListParagraph"/>
        <w:numPr>
          <w:ilvl w:val="0"/>
          <w:numId w:val="11"/>
        </w:numPr>
        <w:jc w:val="left"/>
        <w:rPr>
          <w:sz w:val="32"/>
          <w:lang w:val="id-ID"/>
        </w:rPr>
      </w:pPr>
      <w:r w:rsidRPr="002B26EC">
        <w:rPr>
          <w:sz w:val="32"/>
          <w:lang w:val="id-ID"/>
        </w:rPr>
        <w:t>Financial planning, business valuation, forensic audit, and information technology advisory services.</w:t>
      </w:r>
    </w:p>
    <w:p w:rsidR="00864289" w:rsidRDefault="00864289" w:rsidP="00864289">
      <w:pPr>
        <w:jc w:val="left"/>
        <w:rPr>
          <w:lang w:val="id-ID"/>
        </w:rPr>
      </w:pPr>
    </w:p>
    <w:p w:rsidR="00272BB3" w:rsidRPr="002B26EC" w:rsidRDefault="004C0F4A" w:rsidP="002B26EC">
      <w:pPr>
        <w:ind w:left="0" w:firstLine="0"/>
        <w:jc w:val="left"/>
        <w:rPr>
          <w:sz w:val="36"/>
          <w:lang w:val="id-ID"/>
        </w:rPr>
      </w:pPr>
      <w:r w:rsidRPr="002B26EC">
        <w:rPr>
          <w:sz w:val="36"/>
          <w:lang w:val="id-ID"/>
        </w:rPr>
        <w:t>Assignment: give short description to each type of CPA firm services stated above.</w:t>
      </w:r>
    </w:p>
    <w:p w:rsidR="004C0F4A" w:rsidRDefault="004C0F4A" w:rsidP="00864289">
      <w:pPr>
        <w:jc w:val="left"/>
        <w:rPr>
          <w:lang w:val="id-ID"/>
        </w:rPr>
      </w:pPr>
    </w:p>
    <w:p w:rsidR="002B26EC" w:rsidRDefault="002B26EC" w:rsidP="00864289">
      <w:pPr>
        <w:jc w:val="left"/>
        <w:rPr>
          <w:lang w:val="id-ID"/>
        </w:rPr>
      </w:pPr>
    </w:p>
    <w:p w:rsidR="002B26EC" w:rsidRDefault="002B26EC" w:rsidP="00864289">
      <w:pPr>
        <w:jc w:val="left"/>
        <w:rPr>
          <w:lang w:val="id-ID"/>
        </w:rPr>
      </w:pPr>
    </w:p>
    <w:p w:rsidR="002B26EC" w:rsidRDefault="002B26EC" w:rsidP="00864289">
      <w:pPr>
        <w:jc w:val="left"/>
        <w:rPr>
          <w:lang w:val="id-ID"/>
        </w:rPr>
      </w:pPr>
    </w:p>
    <w:p w:rsidR="00864289" w:rsidRPr="002B26EC" w:rsidRDefault="00272BB3" w:rsidP="00864289">
      <w:pPr>
        <w:jc w:val="left"/>
        <w:rPr>
          <w:sz w:val="32"/>
          <w:lang w:val="id-ID"/>
        </w:rPr>
      </w:pPr>
      <w:r w:rsidRPr="002B26EC">
        <w:rPr>
          <w:sz w:val="32"/>
          <w:lang w:val="id-ID"/>
        </w:rPr>
        <w:lastRenderedPageBreak/>
        <w:t>THE STRUCTURE OF CPA FIRMS</w:t>
      </w:r>
    </w:p>
    <w:p w:rsidR="00272BB3" w:rsidRPr="002B26EC" w:rsidRDefault="00272BB3" w:rsidP="00864289">
      <w:pPr>
        <w:jc w:val="left"/>
        <w:rPr>
          <w:sz w:val="32"/>
          <w:lang w:val="id-ID"/>
        </w:rPr>
      </w:pPr>
    </w:p>
    <w:p w:rsidR="00272BB3" w:rsidRPr="002B26EC" w:rsidRDefault="00272BB3" w:rsidP="002B26EC">
      <w:pPr>
        <w:ind w:left="0" w:firstLine="0"/>
        <w:jc w:val="left"/>
        <w:rPr>
          <w:b/>
          <w:sz w:val="32"/>
          <w:lang w:val="id-ID"/>
        </w:rPr>
      </w:pPr>
      <w:r w:rsidRPr="002B26EC">
        <w:rPr>
          <w:b/>
          <w:sz w:val="32"/>
          <w:lang w:val="id-ID"/>
        </w:rPr>
        <w:t>The main factors influence the organizational structure of CPA Firms:</w:t>
      </w:r>
    </w:p>
    <w:p w:rsidR="00272BB3" w:rsidRPr="002B26EC" w:rsidRDefault="00272BB3" w:rsidP="00864289">
      <w:pPr>
        <w:jc w:val="left"/>
        <w:rPr>
          <w:sz w:val="32"/>
          <w:lang w:val="id-ID"/>
        </w:rPr>
      </w:pPr>
    </w:p>
    <w:p w:rsidR="00272BB3" w:rsidRPr="0009622A" w:rsidRDefault="00272BB3" w:rsidP="00272BB3">
      <w:pPr>
        <w:pStyle w:val="ListParagraph"/>
        <w:numPr>
          <w:ilvl w:val="0"/>
          <w:numId w:val="12"/>
        </w:numPr>
        <w:jc w:val="left"/>
        <w:rPr>
          <w:sz w:val="36"/>
          <w:lang w:val="id-ID"/>
        </w:rPr>
      </w:pPr>
      <w:r w:rsidRPr="0009622A">
        <w:rPr>
          <w:sz w:val="36"/>
          <w:lang w:val="id-ID"/>
        </w:rPr>
        <w:t>The need for independence from client.</w:t>
      </w:r>
    </w:p>
    <w:p w:rsidR="00272BB3" w:rsidRPr="0009622A" w:rsidRDefault="00272BB3" w:rsidP="00272BB3">
      <w:pPr>
        <w:pStyle w:val="ListParagraph"/>
        <w:numPr>
          <w:ilvl w:val="0"/>
          <w:numId w:val="12"/>
        </w:numPr>
        <w:jc w:val="left"/>
        <w:rPr>
          <w:sz w:val="36"/>
          <w:lang w:val="id-ID"/>
        </w:rPr>
      </w:pPr>
      <w:r w:rsidRPr="0009622A">
        <w:rPr>
          <w:sz w:val="36"/>
          <w:lang w:val="id-ID"/>
        </w:rPr>
        <w:t>The importance of a structure to encourage competence.</w:t>
      </w:r>
    </w:p>
    <w:p w:rsidR="00272BB3" w:rsidRPr="0009622A" w:rsidRDefault="00272BB3" w:rsidP="00272BB3">
      <w:pPr>
        <w:pStyle w:val="ListParagraph"/>
        <w:numPr>
          <w:ilvl w:val="0"/>
          <w:numId w:val="12"/>
        </w:numPr>
        <w:jc w:val="left"/>
        <w:rPr>
          <w:sz w:val="36"/>
          <w:lang w:val="id-ID"/>
        </w:rPr>
      </w:pPr>
      <w:r w:rsidRPr="0009622A">
        <w:rPr>
          <w:sz w:val="36"/>
          <w:lang w:val="id-ID"/>
        </w:rPr>
        <w:t>The increased litigation risk faced by auditors.</w:t>
      </w:r>
    </w:p>
    <w:p w:rsidR="00272BB3" w:rsidRDefault="00272BB3" w:rsidP="00272BB3">
      <w:pPr>
        <w:jc w:val="left"/>
        <w:rPr>
          <w:lang w:val="id-ID"/>
        </w:rPr>
      </w:pPr>
    </w:p>
    <w:p w:rsidR="004C0F4A" w:rsidRDefault="004C0F4A" w:rsidP="00272BB3">
      <w:pPr>
        <w:jc w:val="left"/>
        <w:rPr>
          <w:lang w:val="id-ID"/>
        </w:rPr>
      </w:pPr>
      <w:r>
        <w:rPr>
          <w:lang w:val="id-ID"/>
        </w:rPr>
        <w:t>Assignment: give short description to each of the three reasons stated above.</w:t>
      </w:r>
    </w:p>
    <w:p w:rsidR="004C0F4A" w:rsidRDefault="004C0F4A" w:rsidP="00272BB3">
      <w:pPr>
        <w:jc w:val="left"/>
        <w:rPr>
          <w:lang w:val="id-ID"/>
        </w:rPr>
      </w:pPr>
    </w:p>
    <w:p w:rsidR="00272BB3" w:rsidRPr="0009622A" w:rsidRDefault="00272BB3" w:rsidP="00272BB3">
      <w:pPr>
        <w:jc w:val="left"/>
        <w:rPr>
          <w:b/>
          <w:sz w:val="32"/>
          <w:lang w:val="id-ID"/>
        </w:rPr>
      </w:pPr>
      <w:r w:rsidRPr="0009622A">
        <w:rPr>
          <w:b/>
          <w:sz w:val="32"/>
          <w:lang w:val="id-ID"/>
        </w:rPr>
        <w:t>CPA Organizational Structure in US</w:t>
      </w:r>
    </w:p>
    <w:p w:rsidR="00272BB3" w:rsidRPr="0009622A" w:rsidRDefault="00272BB3" w:rsidP="00272BB3">
      <w:pPr>
        <w:jc w:val="left"/>
        <w:rPr>
          <w:sz w:val="32"/>
          <w:lang w:val="id-ID"/>
        </w:rPr>
      </w:pPr>
    </w:p>
    <w:p w:rsidR="00272BB3" w:rsidRPr="0009622A" w:rsidRDefault="00272BB3" w:rsidP="002B26EC">
      <w:pPr>
        <w:ind w:left="0" w:firstLine="0"/>
        <w:jc w:val="left"/>
        <w:rPr>
          <w:sz w:val="32"/>
          <w:lang w:val="id-ID"/>
        </w:rPr>
      </w:pPr>
      <w:r w:rsidRPr="0009622A">
        <w:rPr>
          <w:sz w:val="32"/>
          <w:lang w:val="id-ID"/>
        </w:rPr>
        <w:t xml:space="preserve">The regulation about the structure of CPA firm is depend </w:t>
      </w:r>
      <w:r w:rsidR="002B26EC" w:rsidRPr="0009622A">
        <w:rPr>
          <w:sz w:val="32"/>
          <w:lang w:val="id-ID"/>
        </w:rPr>
        <w:t xml:space="preserve">on the country of the CPA firm. </w:t>
      </w:r>
      <w:r w:rsidRPr="0009622A">
        <w:rPr>
          <w:sz w:val="32"/>
          <w:lang w:val="id-ID"/>
        </w:rPr>
        <w:t>The form of CPA structure in US are:</w:t>
      </w:r>
    </w:p>
    <w:p w:rsidR="00272BB3" w:rsidRPr="0009622A" w:rsidRDefault="00272BB3" w:rsidP="00272BB3">
      <w:pPr>
        <w:pStyle w:val="ListParagraph"/>
        <w:numPr>
          <w:ilvl w:val="0"/>
          <w:numId w:val="13"/>
        </w:numPr>
        <w:jc w:val="left"/>
        <w:rPr>
          <w:sz w:val="32"/>
          <w:lang w:val="id-ID"/>
        </w:rPr>
      </w:pPr>
      <w:r w:rsidRPr="0009622A">
        <w:rPr>
          <w:sz w:val="32"/>
          <w:lang w:val="id-ID"/>
        </w:rPr>
        <w:t>Proprietorship</w:t>
      </w:r>
    </w:p>
    <w:p w:rsidR="00272BB3" w:rsidRPr="0009622A" w:rsidRDefault="00272BB3" w:rsidP="00272BB3">
      <w:pPr>
        <w:pStyle w:val="ListParagraph"/>
        <w:numPr>
          <w:ilvl w:val="0"/>
          <w:numId w:val="13"/>
        </w:numPr>
        <w:jc w:val="left"/>
        <w:rPr>
          <w:b/>
          <w:sz w:val="32"/>
          <w:lang w:val="id-ID"/>
        </w:rPr>
      </w:pPr>
      <w:r w:rsidRPr="0009622A">
        <w:rPr>
          <w:b/>
          <w:sz w:val="32"/>
          <w:lang w:val="id-ID"/>
        </w:rPr>
        <w:t>General partnership</w:t>
      </w:r>
    </w:p>
    <w:p w:rsidR="00272BB3" w:rsidRPr="0009622A" w:rsidRDefault="00272BB3" w:rsidP="00272BB3">
      <w:pPr>
        <w:pStyle w:val="ListParagraph"/>
        <w:numPr>
          <w:ilvl w:val="0"/>
          <w:numId w:val="13"/>
        </w:numPr>
        <w:jc w:val="left"/>
        <w:rPr>
          <w:sz w:val="32"/>
          <w:lang w:val="id-ID"/>
        </w:rPr>
      </w:pPr>
      <w:r w:rsidRPr="0009622A">
        <w:rPr>
          <w:sz w:val="32"/>
          <w:lang w:val="id-ID"/>
        </w:rPr>
        <w:t>General corporation</w:t>
      </w:r>
    </w:p>
    <w:p w:rsidR="00272BB3" w:rsidRPr="0009622A" w:rsidRDefault="00272BB3" w:rsidP="00272BB3">
      <w:pPr>
        <w:pStyle w:val="ListParagraph"/>
        <w:numPr>
          <w:ilvl w:val="0"/>
          <w:numId w:val="13"/>
        </w:numPr>
        <w:jc w:val="left"/>
        <w:rPr>
          <w:sz w:val="32"/>
          <w:lang w:val="id-ID"/>
        </w:rPr>
      </w:pPr>
      <w:r w:rsidRPr="0009622A">
        <w:rPr>
          <w:sz w:val="32"/>
          <w:lang w:val="id-ID"/>
        </w:rPr>
        <w:t>Professional corporation (PC)</w:t>
      </w:r>
    </w:p>
    <w:p w:rsidR="00272BB3" w:rsidRPr="0009622A" w:rsidRDefault="00272BB3" w:rsidP="00272BB3">
      <w:pPr>
        <w:pStyle w:val="ListParagraph"/>
        <w:numPr>
          <w:ilvl w:val="0"/>
          <w:numId w:val="13"/>
        </w:numPr>
        <w:jc w:val="left"/>
        <w:rPr>
          <w:sz w:val="32"/>
          <w:lang w:val="id-ID"/>
        </w:rPr>
      </w:pPr>
      <w:r w:rsidRPr="0009622A">
        <w:rPr>
          <w:sz w:val="32"/>
          <w:lang w:val="id-ID"/>
        </w:rPr>
        <w:t>Limited liability company (LLC)</w:t>
      </w:r>
    </w:p>
    <w:p w:rsidR="00272BB3" w:rsidRPr="0009622A" w:rsidRDefault="00272BB3" w:rsidP="00272BB3">
      <w:pPr>
        <w:pStyle w:val="ListParagraph"/>
        <w:numPr>
          <w:ilvl w:val="0"/>
          <w:numId w:val="13"/>
        </w:numPr>
        <w:jc w:val="left"/>
        <w:rPr>
          <w:sz w:val="32"/>
          <w:lang w:val="id-ID"/>
        </w:rPr>
      </w:pPr>
      <w:r w:rsidRPr="0009622A">
        <w:rPr>
          <w:sz w:val="32"/>
          <w:lang w:val="id-ID"/>
        </w:rPr>
        <w:t>Limited liability partnership (LLP)</w:t>
      </w:r>
    </w:p>
    <w:p w:rsidR="00272BB3" w:rsidRDefault="00272BB3" w:rsidP="00272BB3">
      <w:pPr>
        <w:jc w:val="left"/>
        <w:rPr>
          <w:lang w:val="id-ID"/>
        </w:rPr>
      </w:pPr>
    </w:p>
    <w:p w:rsidR="00272BB3" w:rsidRDefault="004C0F4A" w:rsidP="00272BB3">
      <w:pPr>
        <w:jc w:val="left"/>
        <w:rPr>
          <w:lang w:val="id-ID"/>
        </w:rPr>
      </w:pPr>
      <w:r>
        <w:rPr>
          <w:lang w:val="id-ID"/>
        </w:rPr>
        <w:t>Assignment: give short description to each type of the CPA Firm structure stated above.</w:t>
      </w:r>
    </w:p>
    <w:p w:rsidR="004C0F4A" w:rsidRDefault="004C0F4A" w:rsidP="00272BB3">
      <w:pPr>
        <w:jc w:val="left"/>
        <w:rPr>
          <w:lang w:val="id-ID"/>
        </w:rPr>
      </w:pPr>
    </w:p>
    <w:p w:rsidR="004C0F4A" w:rsidRPr="00BC1EF5" w:rsidRDefault="00696A82" w:rsidP="0041628C">
      <w:pPr>
        <w:ind w:left="0" w:firstLine="0"/>
        <w:jc w:val="left"/>
        <w:rPr>
          <w:lang w:val="id-ID"/>
        </w:rPr>
      </w:pPr>
      <w:r w:rsidRPr="00BC1EF5">
        <w:rPr>
          <w:lang w:val="id-ID"/>
        </w:rPr>
        <w:t>SOX (SARBANES OXLEY ACT) AND PCAOB (PUBLIC COMPANY ACCOUNTING OVERSIGHT BOARD)</w:t>
      </w:r>
    </w:p>
    <w:p w:rsidR="00696A82" w:rsidRDefault="00696A82" w:rsidP="00272BB3">
      <w:pPr>
        <w:jc w:val="left"/>
        <w:rPr>
          <w:lang w:val="id-ID"/>
        </w:rPr>
      </w:pPr>
    </w:p>
    <w:p w:rsidR="00696A82" w:rsidRPr="0009622A" w:rsidRDefault="00696A82" w:rsidP="00FA6DA4">
      <w:pPr>
        <w:ind w:left="0" w:firstLine="0"/>
        <w:jc w:val="left"/>
        <w:rPr>
          <w:sz w:val="36"/>
          <w:lang w:val="id-ID"/>
        </w:rPr>
      </w:pPr>
      <w:r w:rsidRPr="0009622A">
        <w:rPr>
          <w:sz w:val="36"/>
          <w:lang w:val="id-ID"/>
        </w:rPr>
        <w:t xml:space="preserve">Trigerred by the bankcruptcies and alleged audit failures involving such companies as </w:t>
      </w:r>
      <w:r w:rsidRPr="0009622A">
        <w:rPr>
          <w:b/>
          <w:sz w:val="36"/>
          <w:lang w:val="id-ID"/>
        </w:rPr>
        <w:t>Enron and WorldCom</w:t>
      </w:r>
      <w:r w:rsidRPr="0009622A">
        <w:rPr>
          <w:sz w:val="36"/>
          <w:lang w:val="id-ID"/>
        </w:rPr>
        <w:t xml:space="preserve">, </w:t>
      </w:r>
      <w:r w:rsidR="007012FA" w:rsidRPr="0009622A">
        <w:rPr>
          <w:sz w:val="36"/>
          <w:lang w:val="id-ID"/>
        </w:rPr>
        <w:t xml:space="preserve">the SOX </w:t>
      </w:r>
      <w:r w:rsidR="00FA6DA4" w:rsidRPr="0009622A">
        <w:rPr>
          <w:sz w:val="36"/>
          <w:lang w:val="id-ID"/>
        </w:rPr>
        <w:t>is considered  to be the most important legislation affecting the auditing profession since the 1933 and 1934 Securities Acts. SOX established the Public Company Accounting Ovesight Board (PCAOB), appointed and overseen by the SEC.</w:t>
      </w:r>
    </w:p>
    <w:p w:rsidR="00FA6DA4" w:rsidRDefault="00FA6DA4" w:rsidP="00FA6DA4">
      <w:pPr>
        <w:ind w:left="0" w:firstLine="0"/>
        <w:jc w:val="left"/>
        <w:rPr>
          <w:lang w:val="id-ID"/>
        </w:rPr>
      </w:pPr>
    </w:p>
    <w:p w:rsidR="0041628C" w:rsidRPr="0009622A" w:rsidRDefault="00FA6DA4" w:rsidP="00FA6DA4">
      <w:pPr>
        <w:ind w:left="0" w:firstLine="0"/>
        <w:jc w:val="left"/>
        <w:rPr>
          <w:sz w:val="36"/>
          <w:lang w:val="id-ID"/>
        </w:rPr>
      </w:pPr>
      <w:r w:rsidRPr="0009622A">
        <w:rPr>
          <w:sz w:val="36"/>
          <w:lang w:val="id-ID"/>
        </w:rPr>
        <w:lastRenderedPageBreak/>
        <w:t xml:space="preserve">The PCAOB provides oversight for auditors of public companies, establishes auditing and quality control standards for public company audits, and performs inspections of the quality controls at audit firms performing those audit. </w:t>
      </w:r>
      <w:r w:rsidRPr="00D6495C">
        <w:rPr>
          <w:b/>
          <w:sz w:val="36"/>
          <w:highlight w:val="yellow"/>
          <w:lang w:val="id-ID"/>
        </w:rPr>
        <w:t>The PCAOB conducts inspections</w:t>
      </w:r>
      <w:r w:rsidRPr="00D6495C">
        <w:rPr>
          <w:sz w:val="36"/>
          <w:highlight w:val="yellow"/>
          <w:lang w:val="id-ID"/>
        </w:rPr>
        <w:t xml:space="preserve"> of registered accounting  firms to assess their compliance with the rules of the PCAOB and SEC</w:t>
      </w:r>
      <w:r w:rsidRPr="0009622A">
        <w:rPr>
          <w:sz w:val="36"/>
          <w:lang w:val="id-ID"/>
        </w:rPr>
        <w:t>, professional standards, and each firm’s own quality control policies.</w:t>
      </w:r>
    </w:p>
    <w:p w:rsidR="0041628C" w:rsidRDefault="0041628C" w:rsidP="00FA6DA4">
      <w:pPr>
        <w:ind w:left="0" w:firstLine="0"/>
        <w:jc w:val="left"/>
        <w:rPr>
          <w:lang w:val="id-ID"/>
        </w:rPr>
      </w:pPr>
    </w:p>
    <w:p w:rsidR="0041628C" w:rsidRPr="0009622A" w:rsidRDefault="0041628C" w:rsidP="00FA6DA4">
      <w:pPr>
        <w:ind w:left="0" w:firstLine="0"/>
        <w:jc w:val="left"/>
        <w:rPr>
          <w:sz w:val="36"/>
          <w:lang w:val="id-ID"/>
        </w:rPr>
      </w:pPr>
      <w:r w:rsidRPr="0009622A">
        <w:rPr>
          <w:sz w:val="36"/>
          <w:lang w:val="id-ID"/>
        </w:rPr>
        <w:t>SECURITIES AND EXCHANGE COMMISION</w:t>
      </w:r>
    </w:p>
    <w:p w:rsidR="0041628C" w:rsidRPr="0009622A" w:rsidRDefault="0041628C" w:rsidP="00FA6DA4">
      <w:pPr>
        <w:ind w:left="0" w:firstLine="0"/>
        <w:jc w:val="left"/>
        <w:rPr>
          <w:sz w:val="36"/>
          <w:lang w:val="id-ID"/>
        </w:rPr>
      </w:pPr>
    </w:p>
    <w:p w:rsidR="0041628C" w:rsidRPr="0009622A" w:rsidRDefault="0041628C" w:rsidP="00FA6DA4">
      <w:pPr>
        <w:ind w:left="0" w:firstLine="0"/>
        <w:jc w:val="left"/>
        <w:rPr>
          <w:sz w:val="36"/>
          <w:lang w:val="id-ID"/>
        </w:rPr>
      </w:pPr>
      <w:r w:rsidRPr="0009622A">
        <w:rPr>
          <w:sz w:val="36"/>
          <w:lang w:val="id-ID"/>
        </w:rPr>
        <w:t xml:space="preserve">The Securities and Exchange Commision (SEC), an agency of the federal government, </w:t>
      </w:r>
      <w:r w:rsidRPr="0009622A">
        <w:rPr>
          <w:sz w:val="36"/>
          <w:highlight w:val="yellow"/>
          <w:lang w:val="id-ID"/>
        </w:rPr>
        <w:t>assist in providing investors with reliable information upon which to make investment decisions</w:t>
      </w:r>
      <w:r w:rsidRPr="0009622A">
        <w:rPr>
          <w:sz w:val="36"/>
          <w:lang w:val="id-ID"/>
        </w:rPr>
        <w:t>.</w:t>
      </w:r>
    </w:p>
    <w:p w:rsidR="0041628C" w:rsidRPr="0009622A" w:rsidRDefault="0041628C" w:rsidP="00FA6DA4">
      <w:pPr>
        <w:ind w:left="0" w:firstLine="0"/>
        <w:jc w:val="left"/>
        <w:rPr>
          <w:sz w:val="36"/>
          <w:lang w:val="id-ID"/>
        </w:rPr>
      </w:pPr>
    </w:p>
    <w:p w:rsidR="0041628C" w:rsidRPr="0009622A" w:rsidRDefault="0041628C" w:rsidP="00FA6DA4">
      <w:pPr>
        <w:ind w:left="0" w:firstLine="0"/>
        <w:jc w:val="left"/>
        <w:rPr>
          <w:sz w:val="36"/>
          <w:lang w:val="id-ID"/>
        </w:rPr>
      </w:pPr>
      <w:r w:rsidRPr="0009622A">
        <w:rPr>
          <w:sz w:val="36"/>
          <w:lang w:val="id-ID"/>
        </w:rPr>
        <w:t>The SEC Act of 1934 provide protection by requiring public companies and others to file detail annual reports with the commision. The commision examines these statements for completeness and adequacy before permitting the company to sell its securities through the securities exchanges.</w:t>
      </w:r>
    </w:p>
    <w:p w:rsidR="0041628C" w:rsidRDefault="0041628C" w:rsidP="00FA6DA4">
      <w:pPr>
        <w:ind w:left="0" w:firstLine="0"/>
        <w:jc w:val="left"/>
        <w:rPr>
          <w:lang w:val="id-ID"/>
        </w:rPr>
      </w:pPr>
    </w:p>
    <w:p w:rsidR="0041628C" w:rsidRPr="00D6495C" w:rsidRDefault="0041628C" w:rsidP="00FA6DA4">
      <w:pPr>
        <w:ind w:left="0" w:firstLine="0"/>
        <w:jc w:val="left"/>
        <w:rPr>
          <w:sz w:val="32"/>
          <w:lang w:val="id-ID"/>
        </w:rPr>
      </w:pPr>
      <w:r w:rsidRPr="00D6495C">
        <w:rPr>
          <w:sz w:val="32"/>
          <w:lang w:val="id-ID"/>
        </w:rPr>
        <w:t>AMERICAN INSTITUTE OF CERTIFIED PUBLIC ACCOUNTANTS (AICPA)</w:t>
      </w:r>
    </w:p>
    <w:p w:rsidR="0041628C" w:rsidRPr="00D6495C" w:rsidRDefault="0041628C" w:rsidP="00FA6DA4">
      <w:pPr>
        <w:ind w:left="0" w:firstLine="0"/>
        <w:jc w:val="left"/>
        <w:rPr>
          <w:sz w:val="32"/>
          <w:lang w:val="id-ID"/>
        </w:rPr>
      </w:pPr>
    </w:p>
    <w:p w:rsidR="0041628C" w:rsidRPr="00D6495C" w:rsidRDefault="0041628C" w:rsidP="00FA6DA4">
      <w:pPr>
        <w:ind w:left="0" w:firstLine="0"/>
        <w:jc w:val="left"/>
        <w:rPr>
          <w:sz w:val="32"/>
          <w:lang w:val="id-ID"/>
        </w:rPr>
      </w:pPr>
      <w:r w:rsidRPr="00D6495C">
        <w:rPr>
          <w:sz w:val="32"/>
          <w:lang w:val="id-ID"/>
        </w:rPr>
        <w:t>CPAs are licensed by the state in which they practice, but a significant influence on CPAs is exerted by their national professional organization, the AICPA.</w:t>
      </w:r>
    </w:p>
    <w:p w:rsidR="0041628C" w:rsidRPr="00D6495C" w:rsidRDefault="0041628C" w:rsidP="00FA6DA4">
      <w:pPr>
        <w:ind w:left="0" w:firstLine="0"/>
        <w:jc w:val="left"/>
        <w:rPr>
          <w:sz w:val="32"/>
          <w:lang w:val="id-ID"/>
        </w:rPr>
      </w:pPr>
    </w:p>
    <w:p w:rsidR="0041628C" w:rsidRPr="00D6495C" w:rsidRDefault="0041628C" w:rsidP="00FA6DA4">
      <w:pPr>
        <w:ind w:left="0" w:firstLine="0"/>
        <w:jc w:val="left"/>
        <w:rPr>
          <w:sz w:val="32"/>
          <w:lang w:val="id-ID"/>
        </w:rPr>
      </w:pPr>
      <w:r w:rsidRPr="00D6495C">
        <w:rPr>
          <w:sz w:val="32"/>
          <w:lang w:val="id-ID"/>
        </w:rPr>
        <w:t xml:space="preserve">AICPA sets standards and rules that all members and other practicing CPA must follow. Four major areas in which </w:t>
      </w:r>
      <w:r w:rsidR="00BE036B" w:rsidRPr="00D6495C">
        <w:rPr>
          <w:sz w:val="32"/>
          <w:lang w:val="id-ID"/>
        </w:rPr>
        <w:t>the AICPA has authority to set standards and make rules are as follows:</w:t>
      </w:r>
    </w:p>
    <w:p w:rsidR="00BE036B" w:rsidRPr="00D6495C" w:rsidRDefault="00BE036B" w:rsidP="00BE036B">
      <w:pPr>
        <w:pStyle w:val="ListParagraph"/>
        <w:numPr>
          <w:ilvl w:val="0"/>
          <w:numId w:val="14"/>
        </w:numPr>
        <w:jc w:val="left"/>
        <w:rPr>
          <w:sz w:val="32"/>
          <w:lang w:val="id-ID"/>
        </w:rPr>
      </w:pPr>
      <w:r w:rsidRPr="00D6495C">
        <w:rPr>
          <w:b/>
          <w:sz w:val="32"/>
          <w:lang w:val="id-ID"/>
        </w:rPr>
        <w:lastRenderedPageBreak/>
        <w:t>Auditing standards.</w:t>
      </w:r>
      <w:r w:rsidRPr="00D6495C">
        <w:rPr>
          <w:sz w:val="32"/>
          <w:lang w:val="id-ID"/>
        </w:rPr>
        <w:t xml:space="preserve"> </w:t>
      </w:r>
      <w:r w:rsidRPr="00D6495C">
        <w:rPr>
          <w:sz w:val="32"/>
          <w:highlight w:val="yellow"/>
          <w:lang w:val="id-ID"/>
        </w:rPr>
        <w:t>The Auditing Standards Board (ASB)</w:t>
      </w:r>
      <w:r w:rsidRPr="00D6495C">
        <w:rPr>
          <w:sz w:val="32"/>
          <w:lang w:val="id-ID"/>
        </w:rPr>
        <w:t xml:space="preserve"> is responsible for issuing pronouncements on auditing matters in the US for </w:t>
      </w:r>
      <w:r w:rsidRPr="00D6495C">
        <w:rPr>
          <w:b/>
          <w:sz w:val="32"/>
          <w:highlight w:val="yellow"/>
          <w:lang w:val="id-ID"/>
        </w:rPr>
        <w:t>ALL ENTITIES OTHER THAN PUBLICLY TRADED COMPANIES</w:t>
      </w:r>
      <w:r w:rsidRPr="00D6495C">
        <w:rPr>
          <w:b/>
          <w:sz w:val="32"/>
          <w:lang w:val="id-ID"/>
        </w:rPr>
        <w:t xml:space="preserve">. </w:t>
      </w:r>
      <w:r w:rsidRPr="00D6495C">
        <w:rPr>
          <w:sz w:val="32"/>
          <w:lang w:val="id-ID"/>
        </w:rPr>
        <w:t xml:space="preserve">ASB pronouncements are called </w:t>
      </w:r>
      <w:r w:rsidRPr="00D6495C">
        <w:rPr>
          <w:sz w:val="32"/>
          <w:highlight w:val="yellow"/>
          <w:lang w:val="id-ID"/>
        </w:rPr>
        <w:t>Statements on Auditing Standards (SASs).</w:t>
      </w:r>
    </w:p>
    <w:p w:rsidR="00BE036B" w:rsidRPr="00D6495C" w:rsidRDefault="00BC1EF5" w:rsidP="00BE036B">
      <w:pPr>
        <w:pStyle w:val="ListParagraph"/>
        <w:numPr>
          <w:ilvl w:val="0"/>
          <w:numId w:val="14"/>
        </w:numPr>
        <w:jc w:val="left"/>
        <w:rPr>
          <w:sz w:val="32"/>
          <w:lang w:val="id-ID"/>
        </w:rPr>
      </w:pPr>
      <w:r w:rsidRPr="00D6495C">
        <w:rPr>
          <w:b/>
          <w:sz w:val="32"/>
          <w:lang w:val="id-ID"/>
        </w:rPr>
        <w:t>Compilation and review standards</w:t>
      </w:r>
      <w:r w:rsidRPr="00D6495C">
        <w:rPr>
          <w:sz w:val="32"/>
          <w:lang w:val="id-ID"/>
        </w:rPr>
        <w:t xml:space="preserve">. This standards related to CPA’s responsibilities when a CPA is associated with financial statements of privately owned companies that are not audited. The name of standards </w:t>
      </w:r>
      <w:r w:rsidRPr="00D6495C">
        <w:rPr>
          <w:sz w:val="32"/>
          <w:highlight w:val="yellow"/>
          <w:lang w:val="id-ID"/>
        </w:rPr>
        <w:t>is SSARS (Statements on Standards for Accounting and Review Services).</w:t>
      </w:r>
    </w:p>
    <w:p w:rsidR="00BC1EF5" w:rsidRPr="00D6495C" w:rsidRDefault="00BC1EF5" w:rsidP="00BE036B">
      <w:pPr>
        <w:pStyle w:val="ListParagraph"/>
        <w:numPr>
          <w:ilvl w:val="0"/>
          <w:numId w:val="14"/>
        </w:numPr>
        <w:jc w:val="left"/>
        <w:rPr>
          <w:sz w:val="32"/>
          <w:lang w:val="id-ID"/>
        </w:rPr>
      </w:pPr>
      <w:r w:rsidRPr="00D6495C">
        <w:rPr>
          <w:b/>
          <w:sz w:val="32"/>
          <w:lang w:val="id-ID"/>
        </w:rPr>
        <w:t>Other attestation standards</w:t>
      </w:r>
      <w:r w:rsidRPr="00D6495C">
        <w:rPr>
          <w:sz w:val="32"/>
          <w:lang w:val="id-ID"/>
        </w:rPr>
        <w:t>. Statements on Standards for Attestation Engagements provide a framework for the development of standards for attestation engagements.</w:t>
      </w:r>
    </w:p>
    <w:p w:rsidR="00BC1EF5" w:rsidRPr="00D6495C" w:rsidRDefault="00BC1EF5" w:rsidP="00BE036B">
      <w:pPr>
        <w:pStyle w:val="ListParagraph"/>
        <w:numPr>
          <w:ilvl w:val="0"/>
          <w:numId w:val="14"/>
        </w:numPr>
        <w:jc w:val="left"/>
        <w:rPr>
          <w:sz w:val="32"/>
          <w:lang w:val="id-ID"/>
        </w:rPr>
      </w:pPr>
      <w:r w:rsidRPr="00D6495C">
        <w:rPr>
          <w:b/>
          <w:sz w:val="32"/>
          <w:lang w:val="id-ID"/>
        </w:rPr>
        <w:t>Code of professional conduct</w:t>
      </w:r>
      <w:r w:rsidRPr="00D6495C">
        <w:rPr>
          <w:sz w:val="32"/>
          <w:lang w:val="id-ID"/>
        </w:rPr>
        <w:t>. The</w:t>
      </w:r>
      <w:r w:rsidRPr="00D6495C">
        <w:rPr>
          <w:b/>
          <w:sz w:val="32"/>
          <w:lang w:val="id-ID"/>
        </w:rPr>
        <w:t xml:space="preserve"> </w:t>
      </w:r>
      <w:r w:rsidRPr="00D6495C">
        <w:rPr>
          <w:sz w:val="32"/>
          <w:lang w:val="id-ID"/>
        </w:rPr>
        <w:t>AICPA Professional Ethics Executive Committee sets rules of conduct that CPAs are required to meet.</w:t>
      </w:r>
    </w:p>
    <w:p w:rsidR="00A41878" w:rsidRDefault="00A41878" w:rsidP="00A41878">
      <w:pPr>
        <w:jc w:val="left"/>
        <w:rPr>
          <w:lang w:val="id-ID"/>
        </w:rPr>
      </w:pPr>
    </w:p>
    <w:p w:rsidR="00A41878" w:rsidRPr="00D6495C" w:rsidRDefault="00A41878" w:rsidP="00A41878">
      <w:pPr>
        <w:jc w:val="left"/>
        <w:rPr>
          <w:sz w:val="32"/>
          <w:lang w:val="id-ID"/>
        </w:rPr>
      </w:pPr>
      <w:r w:rsidRPr="00D6495C">
        <w:rPr>
          <w:sz w:val="32"/>
          <w:lang w:val="id-ID"/>
        </w:rPr>
        <w:t>INTERNATIONAL AND US AUDITING STANDARDS</w:t>
      </w:r>
    </w:p>
    <w:p w:rsidR="00A41878" w:rsidRPr="00D6495C" w:rsidRDefault="00A41878" w:rsidP="00A41878">
      <w:pPr>
        <w:jc w:val="left"/>
        <w:rPr>
          <w:sz w:val="32"/>
          <w:lang w:val="id-ID"/>
        </w:rPr>
      </w:pPr>
    </w:p>
    <w:p w:rsidR="00A41878" w:rsidRPr="00D6495C" w:rsidRDefault="00A41878" w:rsidP="00A41878">
      <w:pPr>
        <w:jc w:val="left"/>
        <w:rPr>
          <w:b/>
          <w:sz w:val="32"/>
          <w:u w:val="single"/>
          <w:lang w:val="id-ID"/>
        </w:rPr>
      </w:pPr>
      <w:r w:rsidRPr="00D6495C">
        <w:rPr>
          <w:b/>
          <w:sz w:val="32"/>
          <w:u w:val="single"/>
          <w:lang w:val="id-ID"/>
        </w:rPr>
        <w:t>International Standards on Auditing (ISA)</w:t>
      </w:r>
    </w:p>
    <w:p w:rsidR="00A41878" w:rsidRPr="00D6495C" w:rsidRDefault="00A41878" w:rsidP="00A41878">
      <w:pPr>
        <w:jc w:val="left"/>
        <w:rPr>
          <w:sz w:val="32"/>
          <w:lang w:val="id-ID"/>
        </w:rPr>
      </w:pPr>
    </w:p>
    <w:p w:rsidR="00A41878" w:rsidRPr="00D6495C" w:rsidRDefault="00A41878" w:rsidP="00A41878">
      <w:pPr>
        <w:ind w:left="0" w:firstLine="0"/>
        <w:jc w:val="left"/>
        <w:rPr>
          <w:sz w:val="32"/>
          <w:lang w:val="id-ID"/>
        </w:rPr>
      </w:pPr>
      <w:r w:rsidRPr="00D6495C">
        <w:rPr>
          <w:sz w:val="32"/>
          <w:lang w:val="id-ID"/>
        </w:rPr>
        <w:t xml:space="preserve">ISAs are issued by the International Auditing and Assurance Standards Board </w:t>
      </w:r>
      <w:r w:rsidRPr="00D6495C">
        <w:rPr>
          <w:sz w:val="32"/>
          <w:highlight w:val="yellow"/>
          <w:lang w:val="id-ID"/>
        </w:rPr>
        <w:t>(IAASB)</w:t>
      </w:r>
      <w:r w:rsidRPr="00D6495C">
        <w:rPr>
          <w:sz w:val="32"/>
          <w:lang w:val="id-ID"/>
        </w:rPr>
        <w:t xml:space="preserve"> of the International Federation fo Accountants </w:t>
      </w:r>
      <w:r w:rsidRPr="00D6495C">
        <w:rPr>
          <w:sz w:val="32"/>
          <w:highlight w:val="yellow"/>
          <w:lang w:val="id-ID"/>
        </w:rPr>
        <w:t>(IFAC)</w:t>
      </w:r>
      <w:r w:rsidRPr="00D6495C">
        <w:rPr>
          <w:sz w:val="32"/>
          <w:lang w:val="id-ID"/>
        </w:rPr>
        <w:t xml:space="preserve">. IFAC is the worldwide organization for the accountancy profession, with 167 member organization in 127 countries, representing more than 2.5 million accountants throughout the world. </w:t>
      </w:r>
    </w:p>
    <w:p w:rsidR="00A41878" w:rsidRDefault="00A41878" w:rsidP="00A41878">
      <w:pPr>
        <w:ind w:left="0" w:firstLine="0"/>
        <w:jc w:val="left"/>
        <w:rPr>
          <w:lang w:val="id-ID"/>
        </w:rPr>
      </w:pPr>
    </w:p>
    <w:p w:rsidR="00A41878" w:rsidRPr="00D6495C" w:rsidRDefault="00A41878" w:rsidP="00A41878">
      <w:pPr>
        <w:ind w:left="0" w:firstLine="0"/>
        <w:jc w:val="left"/>
        <w:rPr>
          <w:sz w:val="32"/>
          <w:lang w:val="id-ID"/>
        </w:rPr>
      </w:pPr>
      <w:r w:rsidRPr="00D6495C">
        <w:rPr>
          <w:sz w:val="32"/>
          <w:lang w:val="id-ID"/>
        </w:rPr>
        <w:t>The IAASB works to improve the uniformity of auditing practices and related services throughout the world by issuing pronouncements on a variety of audit and attest functions and by promoting their acceptance worldwide.</w:t>
      </w:r>
    </w:p>
    <w:p w:rsidR="00A41878" w:rsidRDefault="00A41878" w:rsidP="00A41878">
      <w:pPr>
        <w:ind w:left="0" w:firstLine="0"/>
        <w:jc w:val="left"/>
        <w:rPr>
          <w:lang w:val="id-ID"/>
        </w:rPr>
      </w:pPr>
    </w:p>
    <w:p w:rsidR="00D6495C" w:rsidRDefault="00D6495C" w:rsidP="00A41878">
      <w:pPr>
        <w:ind w:left="0" w:firstLine="0"/>
        <w:jc w:val="left"/>
        <w:rPr>
          <w:lang w:val="id-ID"/>
        </w:rPr>
      </w:pPr>
    </w:p>
    <w:p w:rsidR="00D6495C" w:rsidRDefault="00D6495C" w:rsidP="00A41878">
      <w:pPr>
        <w:ind w:left="0" w:firstLine="0"/>
        <w:jc w:val="left"/>
        <w:rPr>
          <w:lang w:val="id-ID"/>
        </w:rPr>
      </w:pPr>
    </w:p>
    <w:p w:rsidR="00D6495C" w:rsidRDefault="00D6495C" w:rsidP="00A41878">
      <w:pPr>
        <w:ind w:left="0" w:firstLine="0"/>
        <w:jc w:val="left"/>
        <w:rPr>
          <w:lang w:val="id-ID"/>
        </w:rPr>
      </w:pPr>
    </w:p>
    <w:p w:rsidR="00A41878" w:rsidRPr="00D6495C" w:rsidRDefault="00A41878" w:rsidP="00A41878">
      <w:pPr>
        <w:ind w:left="0" w:firstLine="0"/>
        <w:jc w:val="left"/>
        <w:rPr>
          <w:sz w:val="40"/>
          <w:lang w:val="id-ID"/>
        </w:rPr>
      </w:pPr>
      <w:r w:rsidRPr="00D6495C">
        <w:rPr>
          <w:sz w:val="40"/>
          <w:highlight w:val="yellow"/>
          <w:lang w:val="id-ID"/>
        </w:rPr>
        <w:lastRenderedPageBreak/>
        <w:t>ISAs do not override a country’s regulations</w:t>
      </w:r>
      <w:r w:rsidRPr="00D6495C">
        <w:rPr>
          <w:sz w:val="40"/>
          <w:lang w:val="id-ID"/>
        </w:rPr>
        <w:t xml:space="preserve"> governing the audit of financial or other information, as each country’s own regulations generally govern audit practices.</w:t>
      </w:r>
    </w:p>
    <w:p w:rsidR="00A41878" w:rsidRDefault="00A41878" w:rsidP="00A41878">
      <w:pPr>
        <w:jc w:val="left"/>
        <w:rPr>
          <w:lang w:val="id-ID"/>
        </w:rPr>
      </w:pPr>
    </w:p>
    <w:p w:rsidR="00A41878" w:rsidRDefault="00A41878" w:rsidP="00A41878">
      <w:pPr>
        <w:jc w:val="left"/>
        <w:rPr>
          <w:lang w:val="id-ID"/>
        </w:rPr>
      </w:pPr>
    </w:p>
    <w:p w:rsidR="00A41878" w:rsidRPr="00D6495C" w:rsidRDefault="00A41878" w:rsidP="00A41878">
      <w:pPr>
        <w:jc w:val="left"/>
        <w:rPr>
          <w:b/>
          <w:sz w:val="36"/>
          <w:u w:val="single"/>
          <w:lang w:val="id-ID"/>
        </w:rPr>
      </w:pPr>
      <w:r w:rsidRPr="00D6495C">
        <w:rPr>
          <w:b/>
          <w:sz w:val="36"/>
          <w:u w:val="single"/>
          <w:lang w:val="id-ID"/>
        </w:rPr>
        <w:t>AICPA Aditing Standards</w:t>
      </w:r>
    </w:p>
    <w:p w:rsidR="00A41878" w:rsidRDefault="00A41878" w:rsidP="00A41878">
      <w:pPr>
        <w:jc w:val="left"/>
        <w:rPr>
          <w:lang w:val="id-ID"/>
        </w:rPr>
      </w:pPr>
    </w:p>
    <w:p w:rsidR="00A41878" w:rsidRPr="00D6495C" w:rsidRDefault="00A41878" w:rsidP="00A41878">
      <w:pPr>
        <w:ind w:left="0" w:firstLine="0"/>
        <w:jc w:val="left"/>
        <w:rPr>
          <w:sz w:val="32"/>
          <w:lang w:val="id-ID"/>
        </w:rPr>
      </w:pPr>
      <w:r w:rsidRPr="00D6495C">
        <w:rPr>
          <w:sz w:val="32"/>
          <w:lang w:val="id-ID"/>
        </w:rPr>
        <w:t xml:space="preserve">Auditing standards for </w:t>
      </w:r>
      <w:r w:rsidRPr="00D6495C">
        <w:rPr>
          <w:sz w:val="32"/>
          <w:highlight w:val="yellow"/>
          <w:lang w:val="id-ID"/>
        </w:rPr>
        <w:t>private companies and other entities in the US are established by the Auditing Standards Board (ASB)</w:t>
      </w:r>
      <w:r w:rsidRPr="00D6495C">
        <w:rPr>
          <w:sz w:val="32"/>
          <w:lang w:val="id-ID"/>
        </w:rPr>
        <w:t xml:space="preserve"> of</w:t>
      </w:r>
      <w:r w:rsidR="006C45A2" w:rsidRPr="00D6495C">
        <w:rPr>
          <w:sz w:val="32"/>
          <w:lang w:val="id-ID"/>
        </w:rPr>
        <w:t xml:space="preserve"> AICPA, referred to as Statements on Auditing Standards (SASs). Because ASB has harmonized its agenda with the IAASB, the </w:t>
      </w:r>
      <w:r w:rsidR="006C45A2" w:rsidRPr="00D6495C">
        <w:rPr>
          <w:sz w:val="32"/>
          <w:highlight w:val="yellow"/>
          <w:lang w:val="id-ID"/>
        </w:rPr>
        <w:t>AICPA auditing standards are similar to ISAs</w:t>
      </w:r>
      <w:r w:rsidR="006C45A2" w:rsidRPr="00D6495C">
        <w:rPr>
          <w:sz w:val="32"/>
          <w:lang w:val="id-ID"/>
        </w:rPr>
        <w:t>, although there are some differences.</w:t>
      </w:r>
    </w:p>
    <w:p w:rsidR="006C45A2" w:rsidRDefault="006C45A2" w:rsidP="00A41878">
      <w:pPr>
        <w:ind w:left="0" w:firstLine="0"/>
        <w:jc w:val="left"/>
        <w:rPr>
          <w:lang w:val="id-ID"/>
        </w:rPr>
      </w:pPr>
    </w:p>
    <w:p w:rsidR="006C45A2" w:rsidRPr="00D6495C" w:rsidRDefault="006C45A2" w:rsidP="00A41878">
      <w:pPr>
        <w:ind w:left="0" w:firstLine="0"/>
        <w:jc w:val="left"/>
        <w:rPr>
          <w:sz w:val="32"/>
          <w:lang w:val="id-ID"/>
        </w:rPr>
      </w:pPr>
      <w:r w:rsidRPr="00D6495C">
        <w:rPr>
          <w:sz w:val="32"/>
          <w:highlight w:val="yellow"/>
          <w:lang w:val="id-ID"/>
        </w:rPr>
        <w:t>Prior to SOX,</w:t>
      </w:r>
      <w:r w:rsidRPr="00D6495C">
        <w:rPr>
          <w:sz w:val="32"/>
          <w:lang w:val="id-ID"/>
        </w:rPr>
        <w:t xml:space="preserve"> the ASB established auditing standards in the US for both private and public companies. </w:t>
      </w:r>
      <w:r w:rsidRPr="00D6495C">
        <w:rPr>
          <w:sz w:val="32"/>
          <w:highlight w:val="yellow"/>
          <w:lang w:val="id-ID"/>
        </w:rPr>
        <w:t>The PCAOB now has responsibility for auditing standards for US public companies</w:t>
      </w:r>
      <w:r w:rsidRPr="00D6495C">
        <w:rPr>
          <w:sz w:val="32"/>
          <w:lang w:val="id-ID"/>
        </w:rPr>
        <w:t xml:space="preserve">, while the ASB continues to provide auditing standards </w:t>
      </w:r>
      <w:r w:rsidRPr="00D6495C">
        <w:rPr>
          <w:b/>
          <w:sz w:val="32"/>
          <w:lang w:val="id-ID"/>
        </w:rPr>
        <w:t>for private companies and other entities</w:t>
      </w:r>
      <w:r w:rsidRPr="00D6495C">
        <w:rPr>
          <w:sz w:val="32"/>
          <w:lang w:val="id-ID"/>
        </w:rPr>
        <w:t>. The AICPA auditing standards are also referred to as US Generallay Accepted Auditing Standards (GAAS).</w:t>
      </w:r>
    </w:p>
    <w:p w:rsidR="006C45A2" w:rsidRDefault="006C45A2" w:rsidP="00A41878">
      <w:pPr>
        <w:ind w:left="0" w:firstLine="0"/>
        <w:jc w:val="left"/>
        <w:rPr>
          <w:lang w:val="id-ID"/>
        </w:rPr>
      </w:pPr>
    </w:p>
    <w:p w:rsidR="009D3C5B" w:rsidRPr="00D6495C" w:rsidRDefault="009D3C5B" w:rsidP="00A41878">
      <w:pPr>
        <w:ind w:left="0" w:firstLine="0"/>
        <w:jc w:val="left"/>
        <w:rPr>
          <w:b/>
          <w:sz w:val="32"/>
          <w:lang w:val="id-ID"/>
        </w:rPr>
      </w:pPr>
      <w:r w:rsidRPr="00D6495C">
        <w:rPr>
          <w:b/>
          <w:sz w:val="32"/>
          <w:lang w:val="id-ID"/>
        </w:rPr>
        <w:t xml:space="preserve">PCAOB </w:t>
      </w:r>
      <w:r w:rsidR="00685211" w:rsidRPr="00D6495C">
        <w:rPr>
          <w:b/>
          <w:sz w:val="32"/>
          <w:lang w:val="id-ID"/>
        </w:rPr>
        <w:t>Auditing Standards</w:t>
      </w:r>
    </w:p>
    <w:p w:rsidR="006C45A2" w:rsidRPr="00D6495C" w:rsidRDefault="006C45A2" w:rsidP="00A41878">
      <w:pPr>
        <w:ind w:left="0" w:firstLine="0"/>
        <w:jc w:val="left"/>
        <w:rPr>
          <w:sz w:val="32"/>
          <w:lang w:val="id-ID"/>
        </w:rPr>
      </w:pPr>
    </w:p>
    <w:p w:rsidR="00685211" w:rsidRPr="00D6495C" w:rsidRDefault="00685211" w:rsidP="00A41878">
      <w:pPr>
        <w:ind w:left="0" w:firstLine="0"/>
        <w:jc w:val="left"/>
        <w:rPr>
          <w:sz w:val="32"/>
          <w:lang w:val="id-ID"/>
        </w:rPr>
      </w:pPr>
      <w:r w:rsidRPr="00D6495C">
        <w:rPr>
          <w:sz w:val="32"/>
          <w:lang w:val="id-ID"/>
        </w:rPr>
        <w:t xml:space="preserve">The PCAOB initially adopted existing auditing standards established by the ASB as interim audit standards, </w:t>
      </w:r>
      <w:r w:rsidRPr="00002A83">
        <w:rPr>
          <w:sz w:val="32"/>
          <w:highlight w:val="yellow"/>
          <w:lang w:val="id-ID"/>
        </w:rPr>
        <w:t>however PCAOB considers international auditing standards when developing new standards</w:t>
      </w:r>
      <w:r w:rsidRPr="00D6495C">
        <w:rPr>
          <w:sz w:val="32"/>
          <w:lang w:val="id-ID"/>
        </w:rPr>
        <w:t xml:space="preserve">, as a result, </w:t>
      </w:r>
      <w:r w:rsidRPr="00002A83">
        <w:rPr>
          <w:sz w:val="32"/>
          <w:highlight w:val="yellow"/>
          <w:lang w:val="id-ID"/>
        </w:rPr>
        <w:t>auditing standards f</w:t>
      </w:r>
      <w:r w:rsidR="00C30CC3" w:rsidRPr="00002A83">
        <w:rPr>
          <w:sz w:val="32"/>
          <w:highlight w:val="yellow"/>
          <w:lang w:val="id-ID"/>
        </w:rPr>
        <w:t>or US public and private companies are mostly similar</w:t>
      </w:r>
      <w:r w:rsidR="00C30CC3" w:rsidRPr="00D6495C">
        <w:rPr>
          <w:sz w:val="32"/>
          <w:lang w:val="id-ID"/>
        </w:rPr>
        <w:t xml:space="preserve">. Standards issued by the PCAOB are referred to  as </w:t>
      </w:r>
      <w:r w:rsidR="00C30CC3" w:rsidRPr="00002A83">
        <w:rPr>
          <w:sz w:val="32"/>
          <w:highlight w:val="yellow"/>
          <w:lang w:val="id-ID"/>
        </w:rPr>
        <w:t>PCAOB Auditing Standards in the audit reports of public companies.</w:t>
      </w:r>
    </w:p>
    <w:p w:rsidR="00C30CC3" w:rsidRDefault="00C30CC3" w:rsidP="00A41878">
      <w:pPr>
        <w:ind w:left="0" w:firstLine="0"/>
        <w:jc w:val="left"/>
        <w:rPr>
          <w:lang w:val="id-ID"/>
        </w:rPr>
      </w:pPr>
    </w:p>
    <w:p w:rsidR="00D6495C" w:rsidRDefault="00D6495C" w:rsidP="00A41878">
      <w:pPr>
        <w:ind w:left="0" w:firstLine="0"/>
        <w:jc w:val="left"/>
        <w:rPr>
          <w:lang w:val="id-ID"/>
        </w:rPr>
      </w:pPr>
    </w:p>
    <w:p w:rsidR="00D6495C" w:rsidRDefault="00D6495C" w:rsidP="00A41878">
      <w:pPr>
        <w:ind w:left="0" w:firstLine="0"/>
        <w:jc w:val="left"/>
        <w:rPr>
          <w:lang w:val="id-ID"/>
        </w:rPr>
      </w:pPr>
    </w:p>
    <w:p w:rsidR="00D6495C" w:rsidRDefault="00D6495C" w:rsidP="00A41878">
      <w:pPr>
        <w:ind w:left="0" w:firstLine="0"/>
        <w:jc w:val="left"/>
        <w:rPr>
          <w:lang w:val="id-ID"/>
        </w:rPr>
      </w:pPr>
    </w:p>
    <w:p w:rsidR="00C30CC3" w:rsidRPr="00002A83" w:rsidRDefault="00C30CC3" w:rsidP="00A41878">
      <w:pPr>
        <w:ind w:left="0" w:firstLine="0"/>
        <w:jc w:val="left"/>
        <w:rPr>
          <w:b/>
          <w:sz w:val="36"/>
          <w:lang w:val="id-ID"/>
        </w:rPr>
      </w:pPr>
      <w:r w:rsidRPr="00002A83">
        <w:rPr>
          <w:b/>
          <w:sz w:val="36"/>
          <w:lang w:val="id-ID"/>
        </w:rPr>
        <w:lastRenderedPageBreak/>
        <w:t>Relation of US and International Auditing Standards</w:t>
      </w:r>
    </w:p>
    <w:p w:rsidR="00A41878" w:rsidRDefault="00A41878" w:rsidP="00A41878">
      <w:pPr>
        <w:jc w:val="left"/>
        <w:rPr>
          <w:lang w:val="id-ID"/>
        </w:rPr>
      </w:pPr>
    </w:p>
    <w:tbl>
      <w:tblPr>
        <w:tblStyle w:val="TableGrid"/>
        <w:tblW w:w="0" w:type="auto"/>
        <w:tblInd w:w="137" w:type="dxa"/>
        <w:tblLook w:val="04A0" w:firstRow="1" w:lastRow="0" w:firstColumn="1" w:lastColumn="0" w:noHBand="0" w:noVBand="1"/>
      </w:tblPr>
      <w:tblGrid>
        <w:gridCol w:w="4394"/>
        <w:gridCol w:w="4819"/>
      </w:tblGrid>
      <w:tr w:rsidR="00C30CC3" w:rsidTr="00C30CC3">
        <w:tc>
          <w:tcPr>
            <w:tcW w:w="4394" w:type="dxa"/>
          </w:tcPr>
          <w:p w:rsidR="00C30CC3" w:rsidRPr="00002A83" w:rsidRDefault="00C30CC3" w:rsidP="00A41878">
            <w:pPr>
              <w:ind w:left="0" w:firstLine="0"/>
              <w:jc w:val="left"/>
              <w:rPr>
                <w:sz w:val="32"/>
                <w:lang w:val="id-ID"/>
              </w:rPr>
            </w:pPr>
            <w:r w:rsidRPr="00002A83">
              <w:rPr>
                <w:sz w:val="32"/>
                <w:lang w:val="id-ID"/>
              </w:rPr>
              <w:t>International Auditing Standards (ISA)</w:t>
            </w:r>
          </w:p>
        </w:tc>
        <w:tc>
          <w:tcPr>
            <w:tcW w:w="4819" w:type="dxa"/>
          </w:tcPr>
          <w:p w:rsidR="00C30CC3" w:rsidRPr="00002A83" w:rsidRDefault="00C30CC3" w:rsidP="00A41878">
            <w:pPr>
              <w:ind w:left="0" w:firstLine="0"/>
              <w:jc w:val="left"/>
              <w:rPr>
                <w:sz w:val="32"/>
                <w:lang w:val="id-ID"/>
              </w:rPr>
            </w:pPr>
            <w:r w:rsidRPr="00002A83">
              <w:rPr>
                <w:sz w:val="32"/>
                <w:lang w:val="id-ID"/>
              </w:rPr>
              <w:t>Applicable to entities outside the US</w:t>
            </w:r>
          </w:p>
        </w:tc>
      </w:tr>
      <w:tr w:rsidR="00C30CC3" w:rsidTr="00C30CC3">
        <w:tc>
          <w:tcPr>
            <w:tcW w:w="4394" w:type="dxa"/>
          </w:tcPr>
          <w:p w:rsidR="00C30CC3" w:rsidRPr="00002A83" w:rsidRDefault="00C30CC3" w:rsidP="00A41878">
            <w:pPr>
              <w:ind w:left="0" w:firstLine="0"/>
              <w:jc w:val="left"/>
              <w:rPr>
                <w:sz w:val="32"/>
                <w:lang w:val="id-ID"/>
              </w:rPr>
            </w:pPr>
            <w:r w:rsidRPr="00002A83">
              <w:rPr>
                <w:sz w:val="32"/>
                <w:lang w:val="id-ID"/>
              </w:rPr>
              <w:t>AICPA Auditing Standards</w:t>
            </w:r>
          </w:p>
        </w:tc>
        <w:tc>
          <w:tcPr>
            <w:tcW w:w="4819" w:type="dxa"/>
          </w:tcPr>
          <w:p w:rsidR="00C30CC3" w:rsidRPr="00002A83" w:rsidRDefault="00C30CC3" w:rsidP="00A41878">
            <w:pPr>
              <w:ind w:left="0" w:firstLine="0"/>
              <w:jc w:val="left"/>
              <w:rPr>
                <w:sz w:val="32"/>
                <w:lang w:val="id-ID"/>
              </w:rPr>
            </w:pPr>
            <w:r w:rsidRPr="00002A83">
              <w:rPr>
                <w:sz w:val="32"/>
                <w:lang w:val="id-ID"/>
              </w:rPr>
              <w:t>Applicable to private entities in the US</w:t>
            </w:r>
          </w:p>
        </w:tc>
      </w:tr>
      <w:tr w:rsidR="00C30CC3" w:rsidTr="00C30CC3">
        <w:tc>
          <w:tcPr>
            <w:tcW w:w="4394" w:type="dxa"/>
          </w:tcPr>
          <w:p w:rsidR="00C30CC3" w:rsidRPr="00002A83" w:rsidRDefault="00C30CC3" w:rsidP="00A41878">
            <w:pPr>
              <w:ind w:left="0" w:firstLine="0"/>
              <w:jc w:val="left"/>
              <w:rPr>
                <w:sz w:val="32"/>
                <w:lang w:val="id-ID"/>
              </w:rPr>
            </w:pPr>
            <w:r w:rsidRPr="00002A83">
              <w:rPr>
                <w:sz w:val="32"/>
                <w:lang w:val="id-ID"/>
              </w:rPr>
              <w:t>PCAOB Auditing Standards</w:t>
            </w:r>
          </w:p>
        </w:tc>
        <w:tc>
          <w:tcPr>
            <w:tcW w:w="4819" w:type="dxa"/>
          </w:tcPr>
          <w:p w:rsidR="00C30CC3" w:rsidRPr="00002A83" w:rsidRDefault="00C30CC3" w:rsidP="00A41878">
            <w:pPr>
              <w:ind w:left="0" w:firstLine="0"/>
              <w:jc w:val="left"/>
              <w:rPr>
                <w:sz w:val="32"/>
                <w:lang w:val="id-ID"/>
              </w:rPr>
            </w:pPr>
            <w:r w:rsidRPr="00002A83">
              <w:rPr>
                <w:sz w:val="32"/>
                <w:lang w:val="id-ID"/>
              </w:rPr>
              <w:t>Applicable to US Public Companies and other SEC registrants</w:t>
            </w:r>
          </w:p>
        </w:tc>
      </w:tr>
    </w:tbl>
    <w:p w:rsidR="00C30CC3" w:rsidRDefault="00C30CC3" w:rsidP="00A41878">
      <w:pPr>
        <w:jc w:val="left"/>
        <w:rPr>
          <w:lang w:val="id-ID"/>
        </w:rPr>
      </w:pPr>
    </w:p>
    <w:p w:rsidR="00A41878" w:rsidRPr="00002A83" w:rsidRDefault="00564ED5" w:rsidP="00A41878">
      <w:pPr>
        <w:jc w:val="left"/>
        <w:rPr>
          <w:b/>
          <w:sz w:val="32"/>
          <w:lang w:val="id-ID"/>
        </w:rPr>
      </w:pPr>
      <w:r w:rsidRPr="00002A83">
        <w:rPr>
          <w:b/>
          <w:sz w:val="32"/>
          <w:lang w:val="id-ID"/>
        </w:rPr>
        <w:t>GENERALLY ACCEPTED AUDITING STANDARDS</w:t>
      </w:r>
    </w:p>
    <w:p w:rsidR="00FA6DA4" w:rsidRPr="00002A83" w:rsidRDefault="00FA6DA4" w:rsidP="00FA6DA4">
      <w:pPr>
        <w:ind w:left="0" w:firstLine="0"/>
        <w:jc w:val="left"/>
        <w:rPr>
          <w:sz w:val="32"/>
          <w:lang w:val="id-ID"/>
        </w:rPr>
      </w:pPr>
    </w:p>
    <w:p w:rsidR="00564ED5" w:rsidRPr="00002A83" w:rsidRDefault="00564ED5" w:rsidP="00FA6DA4">
      <w:pPr>
        <w:ind w:left="0" w:firstLine="0"/>
        <w:jc w:val="left"/>
        <w:rPr>
          <w:sz w:val="32"/>
          <w:lang w:val="id-ID"/>
        </w:rPr>
      </w:pPr>
      <w:r w:rsidRPr="00002A83">
        <w:rPr>
          <w:sz w:val="32"/>
          <w:lang w:val="id-ID"/>
        </w:rPr>
        <w:t>Historically, auditing standards have been organized along 10 GAAS, that fall into three categories: (1) general standards, (2) standards of field work, (3) reporting standards.</w:t>
      </w:r>
    </w:p>
    <w:p w:rsidR="00FA6DA4" w:rsidRPr="00002A83" w:rsidRDefault="00FA6DA4" w:rsidP="00FA6DA4">
      <w:pPr>
        <w:ind w:left="0" w:firstLine="0"/>
        <w:jc w:val="left"/>
        <w:rPr>
          <w:sz w:val="32"/>
          <w:lang w:val="id-ID"/>
        </w:rPr>
      </w:pPr>
    </w:p>
    <w:p w:rsidR="00564ED5" w:rsidRPr="00002A83" w:rsidRDefault="009047D9" w:rsidP="00FA6DA4">
      <w:pPr>
        <w:ind w:left="0" w:firstLine="0"/>
        <w:jc w:val="left"/>
        <w:rPr>
          <w:sz w:val="32"/>
          <w:lang w:val="id-ID"/>
        </w:rPr>
      </w:pPr>
      <w:r w:rsidRPr="00002A83">
        <w:rPr>
          <w:sz w:val="32"/>
          <w:lang w:val="id-ID"/>
        </w:rPr>
        <w:t>The principles of the standards is to provide a framework to help auditors fulfill the following two objectives when conducting an audit of financial statements:</w:t>
      </w:r>
    </w:p>
    <w:p w:rsidR="009047D9" w:rsidRPr="00002A83" w:rsidRDefault="009047D9" w:rsidP="00FA6DA4">
      <w:pPr>
        <w:ind w:left="0" w:firstLine="0"/>
        <w:jc w:val="left"/>
        <w:rPr>
          <w:sz w:val="32"/>
          <w:lang w:val="id-ID"/>
        </w:rPr>
      </w:pPr>
    </w:p>
    <w:p w:rsidR="009047D9" w:rsidRPr="00002A83" w:rsidRDefault="009047D9" w:rsidP="009047D9">
      <w:pPr>
        <w:pStyle w:val="ListParagraph"/>
        <w:numPr>
          <w:ilvl w:val="0"/>
          <w:numId w:val="15"/>
        </w:numPr>
        <w:jc w:val="left"/>
        <w:rPr>
          <w:sz w:val="32"/>
          <w:lang w:val="id-ID"/>
        </w:rPr>
      </w:pPr>
      <w:r w:rsidRPr="00002A83">
        <w:rPr>
          <w:sz w:val="32"/>
          <w:lang w:val="id-ID"/>
        </w:rPr>
        <w:t>Obtain reasonable assurance about whether the financial statements as a whole are free from material misstatement, whether due to fraud or error, thereby enabling the auditor to express an opinion on whether the financial statements are presented fairly, in all material respects, in accordance with an applicable financial reporting framework, and.</w:t>
      </w:r>
    </w:p>
    <w:p w:rsidR="009047D9" w:rsidRPr="00002A83" w:rsidRDefault="009047D9" w:rsidP="009047D9">
      <w:pPr>
        <w:pStyle w:val="ListParagraph"/>
        <w:numPr>
          <w:ilvl w:val="0"/>
          <w:numId w:val="15"/>
        </w:numPr>
        <w:jc w:val="left"/>
        <w:rPr>
          <w:sz w:val="32"/>
          <w:lang w:val="id-ID"/>
        </w:rPr>
      </w:pPr>
      <w:r w:rsidRPr="00002A83">
        <w:rPr>
          <w:sz w:val="32"/>
          <w:lang w:val="id-ID"/>
        </w:rPr>
        <w:t>Report on the financial statements, and communicate as required by GAAS, in accordance with the auditor’s finding.</w:t>
      </w:r>
    </w:p>
    <w:p w:rsidR="00EA2641" w:rsidRPr="00002A83" w:rsidRDefault="00EA2641" w:rsidP="00EA2641">
      <w:pPr>
        <w:jc w:val="left"/>
        <w:rPr>
          <w:sz w:val="32"/>
          <w:lang w:val="id-ID"/>
        </w:rPr>
      </w:pPr>
    </w:p>
    <w:p w:rsidR="00EA2641" w:rsidRPr="00EA2641" w:rsidRDefault="00EA2641" w:rsidP="00EA2641">
      <w:pPr>
        <w:ind w:left="0" w:firstLine="0"/>
        <w:jc w:val="left"/>
        <w:rPr>
          <w:b/>
          <w:lang w:val="id-ID"/>
        </w:rPr>
      </w:pPr>
      <w:r w:rsidRPr="00EA2641">
        <w:rPr>
          <w:b/>
          <w:lang w:val="id-ID"/>
        </w:rPr>
        <w:t>GENERALLY ACCEPTED AUDITING STANDARDS – PCAOB INTERIM STANDARDS</w:t>
      </w:r>
    </w:p>
    <w:p w:rsidR="00FA6DA4" w:rsidRDefault="00FA6DA4" w:rsidP="00FA6DA4">
      <w:pPr>
        <w:ind w:left="0" w:firstLine="0"/>
        <w:jc w:val="left"/>
        <w:rPr>
          <w:lang w:val="id-ID"/>
        </w:rPr>
      </w:pPr>
      <w:r>
        <w:rPr>
          <w:lang w:val="id-ID"/>
        </w:rPr>
        <w:t xml:space="preserve"> </w:t>
      </w:r>
    </w:p>
    <w:tbl>
      <w:tblPr>
        <w:tblStyle w:val="TableGrid"/>
        <w:tblW w:w="0" w:type="auto"/>
        <w:tblLook w:val="04A0" w:firstRow="1" w:lastRow="0" w:firstColumn="1" w:lastColumn="0" w:noHBand="0" w:noVBand="1"/>
      </w:tblPr>
      <w:tblGrid>
        <w:gridCol w:w="9350"/>
      </w:tblGrid>
      <w:tr w:rsidR="00EA2641" w:rsidTr="00EA2641">
        <w:tc>
          <w:tcPr>
            <w:tcW w:w="9350" w:type="dxa"/>
          </w:tcPr>
          <w:p w:rsidR="00EA2641" w:rsidRPr="00EA2641" w:rsidRDefault="00EA2641" w:rsidP="00FA6DA4">
            <w:pPr>
              <w:ind w:left="0" w:firstLine="0"/>
              <w:jc w:val="left"/>
              <w:rPr>
                <w:b/>
                <w:lang w:val="id-ID"/>
              </w:rPr>
            </w:pPr>
            <w:r w:rsidRPr="00EA2641">
              <w:rPr>
                <w:b/>
                <w:lang w:val="id-ID"/>
              </w:rPr>
              <w:t>General Standards</w:t>
            </w:r>
          </w:p>
          <w:p w:rsidR="00EA2641" w:rsidRDefault="00EA2641" w:rsidP="00EA2641">
            <w:pPr>
              <w:pStyle w:val="ListParagraph"/>
              <w:numPr>
                <w:ilvl w:val="0"/>
                <w:numId w:val="16"/>
              </w:numPr>
              <w:jc w:val="left"/>
              <w:rPr>
                <w:lang w:val="id-ID"/>
              </w:rPr>
            </w:pPr>
            <w:r>
              <w:rPr>
                <w:lang w:val="id-ID"/>
              </w:rPr>
              <w:t>The audit is to be performed by a person or persons having adequate technical training and proficiency as an auditor.</w:t>
            </w:r>
          </w:p>
          <w:p w:rsidR="00EA2641" w:rsidRDefault="00EA2641" w:rsidP="00EA2641">
            <w:pPr>
              <w:pStyle w:val="ListParagraph"/>
              <w:numPr>
                <w:ilvl w:val="0"/>
                <w:numId w:val="16"/>
              </w:numPr>
              <w:jc w:val="left"/>
              <w:rPr>
                <w:lang w:val="id-ID"/>
              </w:rPr>
            </w:pPr>
            <w:r>
              <w:rPr>
                <w:lang w:val="id-ID"/>
              </w:rPr>
              <w:t>In All matters relating to the assignment, an independence in mental attitude is to be maintained by the auditor or auditors.</w:t>
            </w:r>
          </w:p>
          <w:p w:rsidR="00EA2641" w:rsidRPr="00EA2641" w:rsidRDefault="00EA2641" w:rsidP="00EA2641">
            <w:pPr>
              <w:pStyle w:val="ListParagraph"/>
              <w:numPr>
                <w:ilvl w:val="0"/>
                <w:numId w:val="16"/>
              </w:numPr>
              <w:jc w:val="left"/>
              <w:rPr>
                <w:lang w:val="id-ID"/>
              </w:rPr>
            </w:pPr>
            <w:r>
              <w:rPr>
                <w:lang w:val="id-ID"/>
              </w:rPr>
              <w:lastRenderedPageBreak/>
              <w:t>Due professional care is to be exercised in the performance of the audit and the preparation of the report.</w:t>
            </w:r>
          </w:p>
        </w:tc>
      </w:tr>
      <w:tr w:rsidR="00EA2641" w:rsidTr="00EA2641">
        <w:tc>
          <w:tcPr>
            <w:tcW w:w="9350" w:type="dxa"/>
          </w:tcPr>
          <w:p w:rsidR="00EA2641" w:rsidRPr="00EA2641" w:rsidRDefault="00EA2641" w:rsidP="00FA6DA4">
            <w:pPr>
              <w:ind w:left="0" w:firstLine="0"/>
              <w:jc w:val="left"/>
              <w:rPr>
                <w:b/>
                <w:lang w:val="id-ID"/>
              </w:rPr>
            </w:pPr>
            <w:r w:rsidRPr="00EA2641">
              <w:rPr>
                <w:b/>
                <w:lang w:val="id-ID"/>
              </w:rPr>
              <w:lastRenderedPageBreak/>
              <w:t>Standards of Field Work</w:t>
            </w:r>
          </w:p>
          <w:p w:rsidR="00EA2641" w:rsidRDefault="00EA2641" w:rsidP="00EA2641">
            <w:pPr>
              <w:pStyle w:val="ListParagraph"/>
              <w:numPr>
                <w:ilvl w:val="0"/>
                <w:numId w:val="17"/>
              </w:numPr>
              <w:jc w:val="left"/>
              <w:rPr>
                <w:lang w:val="id-ID"/>
              </w:rPr>
            </w:pPr>
            <w:r>
              <w:rPr>
                <w:lang w:val="id-ID"/>
              </w:rPr>
              <w:t>The work is to be adequately planned and assistants, if any, are to be properly supervised.</w:t>
            </w:r>
          </w:p>
          <w:p w:rsidR="00EA2641" w:rsidRDefault="00EA2641" w:rsidP="00EA2641">
            <w:pPr>
              <w:pStyle w:val="ListParagraph"/>
              <w:numPr>
                <w:ilvl w:val="0"/>
                <w:numId w:val="17"/>
              </w:numPr>
              <w:jc w:val="left"/>
              <w:rPr>
                <w:lang w:val="id-ID"/>
              </w:rPr>
            </w:pPr>
            <w:r>
              <w:rPr>
                <w:lang w:val="id-ID"/>
              </w:rPr>
              <w:t>A sufficient understanding of internal control is to be obtained to plan the audit and to determine the nature, timing, and extent of tests to be performed.</w:t>
            </w:r>
          </w:p>
          <w:p w:rsidR="00EA2641" w:rsidRDefault="00EA2641" w:rsidP="00EA2641">
            <w:pPr>
              <w:pStyle w:val="ListParagraph"/>
              <w:numPr>
                <w:ilvl w:val="0"/>
                <w:numId w:val="17"/>
              </w:numPr>
              <w:jc w:val="left"/>
              <w:rPr>
                <w:lang w:val="id-ID"/>
              </w:rPr>
            </w:pPr>
            <w:r>
              <w:rPr>
                <w:lang w:val="id-ID"/>
              </w:rPr>
              <w:t>Sufficient appropriate evidential matter is to be obtained through inspection, inquiries, and confirmations to afford a reasobable basis for an opinion regarding the financial statements under audit.</w:t>
            </w:r>
          </w:p>
          <w:p w:rsidR="00957437" w:rsidRDefault="00957437" w:rsidP="00957437">
            <w:pPr>
              <w:jc w:val="left"/>
              <w:rPr>
                <w:lang w:val="id-ID"/>
              </w:rPr>
            </w:pPr>
          </w:p>
          <w:p w:rsidR="00957437" w:rsidRPr="00957437" w:rsidRDefault="00957437" w:rsidP="00957437">
            <w:pPr>
              <w:jc w:val="left"/>
              <w:rPr>
                <w:lang w:val="id-ID"/>
              </w:rPr>
            </w:pPr>
          </w:p>
        </w:tc>
      </w:tr>
      <w:tr w:rsidR="00EA2641" w:rsidTr="00EA2641">
        <w:tc>
          <w:tcPr>
            <w:tcW w:w="9350" w:type="dxa"/>
          </w:tcPr>
          <w:p w:rsidR="00EA2641" w:rsidRDefault="00EA2641" w:rsidP="00FA6DA4">
            <w:pPr>
              <w:ind w:left="0" w:firstLine="0"/>
              <w:jc w:val="left"/>
              <w:rPr>
                <w:lang w:val="id-ID"/>
              </w:rPr>
            </w:pPr>
            <w:r w:rsidRPr="00EA2641">
              <w:rPr>
                <w:lang w:val="id-ID"/>
              </w:rPr>
              <w:t>Standards of Reporting</w:t>
            </w:r>
          </w:p>
          <w:p w:rsidR="00EA2641" w:rsidRDefault="00957437" w:rsidP="00EA2641">
            <w:pPr>
              <w:pStyle w:val="ListParagraph"/>
              <w:numPr>
                <w:ilvl w:val="0"/>
                <w:numId w:val="18"/>
              </w:numPr>
              <w:jc w:val="left"/>
              <w:rPr>
                <w:lang w:val="id-ID"/>
              </w:rPr>
            </w:pPr>
            <w:r>
              <w:rPr>
                <w:lang w:val="id-ID"/>
              </w:rPr>
              <w:t>The report shall state wheter the financial statements are presented in accordance with generally accepted accounting principles (GAAP).</w:t>
            </w:r>
          </w:p>
          <w:p w:rsidR="00957437" w:rsidRDefault="00957437" w:rsidP="00EA2641">
            <w:pPr>
              <w:pStyle w:val="ListParagraph"/>
              <w:numPr>
                <w:ilvl w:val="0"/>
                <w:numId w:val="18"/>
              </w:numPr>
              <w:jc w:val="left"/>
              <w:rPr>
                <w:lang w:val="id-ID"/>
              </w:rPr>
            </w:pPr>
            <w:r>
              <w:rPr>
                <w:lang w:val="id-ID"/>
              </w:rPr>
              <w:t>The report shall identify those circumstances in which such principles have not been consistently observed in the current period in relation to the preceding period.</w:t>
            </w:r>
          </w:p>
          <w:p w:rsidR="00957437" w:rsidRDefault="00957437" w:rsidP="00EA2641">
            <w:pPr>
              <w:pStyle w:val="ListParagraph"/>
              <w:numPr>
                <w:ilvl w:val="0"/>
                <w:numId w:val="18"/>
              </w:numPr>
              <w:jc w:val="left"/>
              <w:rPr>
                <w:lang w:val="id-ID"/>
              </w:rPr>
            </w:pPr>
            <w:r>
              <w:rPr>
                <w:lang w:val="id-ID"/>
              </w:rPr>
              <w:t>Informative disclosures in the financial statements are to be regarded as reasonably adequate unless otherwise stated in the reports.</w:t>
            </w:r>
          </w:p>
          <w:p w:rsidR="00957437" w:rsidRPr="00EA2641" w:rsidRDefault="00957437" w:rsidP="00957437">
            <w:pPr>
              <w:pStyle w:val="ListParagraph"/>
              <w:numPr>
                <w:ilvl w:val="0"/>
                <w:numId w:val="18"/>
              </w:numPr>
              <w:jc w:val="left"/>
              <w:rPr>
                <w:lang w:val="id-ID"/>
              </w:rPr>
            </w:pPr>
            <w:r>
              <w:rPr>
                <w:lang w:val="id-ID"/>
              </w:rPr>
              <w:t>The report shall contain either an expression of opinion regarding the financial statements, taken as a whole, or an assertion to the effect that an opinion cannot be expressed. When an overall opinion can not be expressed, the reasons therefor should be stated. In all cases where an auditor’s name is associated with financial statements, the report sholud be contain a clear-cut indication of the character of the auitor’s work, if any, and the degree of responsibility the auditor is taking.</w:t>
            </w:r>
          </w:p>
        </w:tc>
      </w:tr>
    </w:tbl>
    <w:p w:rsidR="00EA2641" w:rsidRPr="00EA2641" w:rsidRDefault="00EA2641" w:rsidP="00FA6DA4">
      <w:pPr>
        <w:ind w:left="0" w:firstLine="0"/>
        <w:jc w:val="left"/>
        <w:rPr>
          <w:b/>
          <w:lang w:val="id-ID"/>
        </w:rPr>
      </w:pPr>
    </w:p>
    <w:p w:rsidR="00272BB3" w:rsidRDefault="00272BB3" w:rsidP="00272BB3">
      <w:pPr>
        <w:jc w:val="left"/>
        <w:rPr>
          <w:lang w:val="id-ID"/>
        </w:rPr>
      </w:pPr>
    </w:p>
    <w:p w:rsidR="00272BB3" w:rsidRDefault="00AD2B26" w:rsidP="00AD2B26">
      <w:pPr>
        <w:ind w:left="0" w:firstLine="0"/>
        <w:jc w:val="left"/>
        <w:rPr>
          <w:lang w:val="id-ID"/>
        </w:rPr>
      </w:pPr>
      <w:r>
        <w:rPr>
          <w:lang w:val="id-ID"/>
        </w:rPr>
        <w:t>LINKAGE AICPA AUDITING STANDARDS AND PCAOB GAAP (GENERALLY ACCEPTED AUDITING STANDARDS)</w:t>
      </w:r>
    </w:p>
    <w:p w:rsidR="00AD2B26" w:rsidRDefault="00AD2B26" w:rsidP="00AD2B26">
      <w:pPr>
        <w:ind w:left="0" w:firstLine="0"/>
        <w:jc w:val="left"/>
        <w:rPr>
          <w:lang w:val="id-ID"/>
        </w:rPr>
      </w:pPr>
    </w:p>
    <w:tbl>
      <w:tblPr>
        <w:tblStyle w:val="TableGrid"/>
        <w:tblW w:w="0" w:type="auto"/>
        <w:tblLook w:val="04A0" w:firstRow="1" w:lastRow="0" w:firstColumn="1" w:lastColumn="0" w:noHBand="0" w:noVBand="1"/>
      </w:tblPr>
      <w:tblGrid>
        <w:gridCol w:w="4675"/>
        <w:gridCol w:w="4675"/>
      </w:tblGrid>
      <w:tr w:rsidR="009922A9" w:rsidRPr="00DD7DBD" w:rsidTr="009922A9">
        <w:tc>
          <w:tcPr>
            <w:tcW w:w="4675" w:type="dxa"/>
          </w:tcPr>
          <w:p w:rsidR="009922A9" w:rsidRPr="00DD7DBD" w:rsidRDefault="009922A9" w:rsidP="00AD2B26">
            <w:pPr>
              <w:ind w:left="0" w:firstLine="0"/>
              <w:jc w:val="left"/>
              <w:rPr>
                <w:b/>
                <w:lang w:val="id-ID"/>
              </w:rPr>
            </w:pPr>
            <w:r w:rsidRPr="00DD7DBD">
              <w:rPr>
                <w:b/>
                <w:lang w:val="id-ID"/>
              </w:rPr>
              <w:t>Principles in AICPA Auditing Standards</w:t>
            </w:r>
          </w:p>
        </w:tc>
        <w:tc>
          <w:tcPr>
            <w:tcW w:w="4675" w:type="dxa"/>
          </w:tcPr>
          <w:p w:rsidR="009922A9" w:rsidRPr="00DD7DBD" w:rsidRDefault="009922A9" w:rsidP="00AD2B26">
            <w:pPr>
              <w:ind w:left="0" w:firstLine="0"/>
              <w:jc w:val="left"/>
              <w:rPr>
                <w:b/>
                <w:lang w:val="id-ID"/>
              </w:rPr>
            </w:pPr>
            <w:r w:rsidRPr="00DD7DBD">
              <w:rPr>
                <w:b/>
                <w:lang w:val="id-ID"/>
              </w:rPr>
              <w:t>PCAOB Generally Accepted Auditing Standards</w:t>
            </w:r>
          </w:p>
        </w:tc>
      </w:tr>
      <w:tr w:rsidR="009922A9" w:rsidTr="009922A9">
        <w:tc>
          <w:tcPr>
            <w:tcW w:w="4675" w:type="dxa"/>
          </w:tcPr>
          <w:p w:rsidR="009922A9" w:rsidRPr="009922A9" w:rsidRDefault="009922A9" w:rsidP="00AD2B26">
            <w:pPr>
              <w:ind w:left="0" w:firstLine="0"/>
              <w:jc w:val="left"/>
              <w:rPr>
                <w:b/>
                <w:lang w:val="id-ID"/>
              </w:rPr>
            </w:pPr>
            <w:r w:rsidRPr="009922A9">
              <w:rPr>
                <w:b/>
                <w:lang w:val="id-ID"/>
              </w:rPr>
              <w:t>Purpose of an Audit</w:t>
            </w:r>
          </w:p>
          <w:p w:rsidR="009922A9" w:rsidRPr="009922A9" w:rsidRDefault="009922A9" w:rsidP="009922A9">
            <w:pPr>
              <w:pStyle w:val="ListParagraph"/>
              <w:numPr>
                <w:ilvl w:val="0"/>
                <w:numId w:val="19"/>
              </w:numPr>
              <w:ind w:left="313" w:hanging="313"/>
              <w:jc w:val="left"/>
              <w:rPr>
                <w:lang w:val="id-ID"/>
              </w:rPr>
            </w:pPr>
            <w:r>
              <w:rPr>
                <w:lang w:val="id-ID"/>
              </w:rPr>
              <w:t>Provide an opinion about the financial statements</w:t>
            </w:r>
          </w:p>
        </w:tc>
        <w:tc>
          <w:tcPr>
            <w:tcW w:w="4675" w:type="dxa"/>
          </w:tcPr>
          <w:p w:rsidR="009922A9" w:rsidRDefault="009922A9" w:rsidP="00AD2B26">
            <w:pPr>
              <w:ind w:left="0" w:firstLine="0"/>
              <w:jc w:val="left"/>
              <w:rPr>
                <w:lang w:val="id-ID"/>
              </w:rPr>
            </w:pPr>
          </w:p>
        </w:tc>
      </w:tr>
      <w:tr w:rsidR="009922A9" w:rsidTr="009922A9">
        <w:tc>
          <w:tcPr>
            <w:tcW w:w="4675" w:type="dxa"/>
          </w:tcPr>
          <w:p w:rsidR="009922A9" w:rsidRPr="009922A9" w:rsidRDefault="009922A9" w:rsidP="00AD2B26">
            <w:pPr>
              <w:ind w:left="0" w:firstLine="0"/>
              <w:jc w:val="left"/>
              <w:rPr>
                <w:b/>
                <w:lang w:val="id-ID"/>
              </w:rPr>
            </w:pPr>
            <w:r w:rsidRPr="009922A9">
              <w:rPr>
                <w:b/>
                <w:lang w:val="id-ID"/>
              </w:rPr>
              <w:t>Reponsibilities</w:t>
            </w:r>
          </w:p>
          <w:p w:rsidR="009922A9" w:rsidRDefault="009922A9" w:rsidP="009922A9">
            <w:pPr>
              <w:pStyle w:val="ListParagraph"/>
              <w:numPr>
                <w:ilvl w:val="0"/>
                <w:numId w:val="19"/>
              </w:numPr>
              <w:ind w:left="313" w:hanging="313"/>
              <w:jc w:val="left"/>
              <w:rPr>
                <w:lang w:val="id-ID"/>
              </w:rPr>
            </w:pPr>
            <w:r>
              <w:rPr>
                <w:lang w:val="id-ID"/>
              </w:rPr>
              <w:t>Possess appropriate competence and capabilities</w:t>
            </w:r>
          </w:p>
          <w:p w:rsidR="009922A9" w:rsidRDefault="009922A9" w:rsidP="009922A9">
            <w:pPr>
              <w:pStyle w:val="ListParagraph"/>
              <w:numPr>
                <w:ilvl w:val="0"/>
                <w:numId w:val="19"/>
              </w:numPr>
              <w:ind w:left="313" w:hanging="313"/>
              <w:jc w:val="left"/>
              <w:rPr>
                <w:lang w:val="id-ID"/>
              </w:rPr>
            </w:pPr>
            <w:r>
              <w:rPr>
                <w:lang w:val="id-ID"/>
              </w:rPr>
              <w:t>Comply with ethical requirements</w:t>
            </w:r>
          </w:p>
          <w:p w:rsidR="009922A9" w:rsidRPr="009922A9" w:rsidRDefault="009922A9" w:rsidP="009922A9">
            <w:pPr>
              <w:pStyle w:val="ListParagraph"/>
              <w:numPr>
                <w:ilvl w:val="0"/>
                <w:numId w:val="19"/>
              </w:numPr>
              <w:ind w:left="313" w:hanging="313"/>
              <w:jc w:val="left"/>
              <w:rPr>
                <w:lang w:val="id-ID"/>
              </w:rPr>
            </w:pPr>
            <w:r>
              <w:rPr>
                <w:lang w:val="id-ID"/>
              </w:rPr>
              <w:t>Maintain professional skepticism and exercise professional judgement</w:t>
            </w:r>
          </w:p>
        </w:tc>
        <w:tc>
          <w:tcPr>
            <w:tcW w:w="4675" w:type="dxa"/>
          </w:tcPr>
          <w:p w:rsidR="009922A9" w:rsidRPr="009922A9" w:rsidRDefault="009922A9" w:rsidP="00AD2B26">
            <w:pPr>
              <w:ind w:left="0" w:firstLine="0"/>
              <w:jc w:val="left"/>
              <w:rPr>
                <w:b/>
                <w:lang w:val="id-ID"/>
              </w:rPr>
            </w:pPr>
            <w:r w:rsidRPr="009922A9">
              <w:rPr>
                <w:b/>
                <w:lang w:val="id-ID"/>
              </w:rPr>
              <w:t>General Standards</w:t>
            </w:r>
          </w:p>
          <w:p w:rsidR="009922A9" w:rsidRDefault="009922A9" w:rsidP="009922A9">
            <w:pPr>
              <w:pStyle w:val="ListParagraph"/>
              <w:numPr>
                <w:ilvl w:val="0"/>
                <w:numId w:val="20"/>
              </w:numPr>
              <w:jc w:val="left"/>
              <w:rPr>
                <w:lang w:val="id-ID"/>
              </w:rPr>
            </w:pPr>
            <w:r>
              <w:rPr>
                <w:lang w:val="id-ID"/>
              </w:rPr>
              <w:t>Adequate training and proficiency</w:t>
            </w:r>
          </w:p>
          <w:p w:rsidR="009922A9" w:rsidRDefault="009922A9" w:rsidP="009922A9">
            <w:pPr>
              <w:pStyle w:val="ListParagraph"/>
              <w:numPr>
                <w:ilvl w:val="0"/>
                <w:numId w:val="20"/>
              </w:numPr>
              <w:jc w:val="left"/>
              <w:rPr>
                <w:lang w:val="id-ID"/>
              </w:rPr>
            </w:pPr>
            <w:r>
              <w:rPr>
                <w:lang w:val="id-ID"/>
              </w:rPr>
              <w:t>Independence in mental attitude</w:t>
            </w:r>
          </w:p>
          <w:p w:rsidR="009922A9" w:rsidRPr="009922A9" w:rsidRDefault="009922A9" w:rsidP="009922A9">
            <w:pPr>
              <w:pStyle w:val="ListParagraph"/>
              <w:numPr>
                <w:ilvl w:val="0"/>
                <w:numId w:val="20"/>
              </w:numPr>
              <w:jc w:val="left"/>
              <w:rPr>
                <w:lang w:val="id-ID"/>
              </w:rPr>
            </w:pPr>
            <w:r>
              <w:rPr>
                <w:lang w:val="id-ID"/>
              </w:rPr>
              <w:t>Due professional care</w:t>
            </w:r>
          </w:p>
        </w:tc>
      </w:tr>
    </w:tbl>
    <w:p w:rsidR="00272BB3" w:rsidRDefault="00272BB3" w:rsidP="00864289">
      <w:pPr>
        <w:jc w:val="left"/>
        <w:rPr>
          <w:lang w:val="id-ID"/>
        </w:rPr>
      </w:pPr>
    </w:p>
    <w:p w:rsidR="00DD7DBD" w:rsidRDefault="00DD7DBD" w:rsidP="00864289">
      <w:pPr>
        <w:jc w:val="left"/>
        <w:rPr>
          <w:lang w:val="id-ID"/>
        </w:rPr>
      </w:pPr>
    </w:p>
    <w:p w:rsidR="00DD7DBD" w:rsidRDefault="00DD7DBD" w:rsidP="00864289">
      <w:pPr>
        <w:jc w:val="left"/>
        <w:rPr>
          <w:lang w:val="id-ID"/>
        </w:rPr>
      </w:pPr>
    </w:p>
    <w:tbl>
      <w:tblPr>
        <w:tblStyle w:val="TableGrid"/>
        <w:tblW w:w="0" w:type="auto"/>
        <w:tblLook w:val="04A0" w:firstRow="1" w:lastRow="0" w:firstColumn="1" w:lastColumn="0" w:noHBand="0" w:noVBand="1"/>
      </w:tblPr>
      <w:tblGrid>
        <w:gridCol w:w="4675"/>
        <w:gridCol w:w="4675"/>
      </w:tblGrid>
      <w:tr w:rsidR="00DD7DBD" w:rsidRPr="00DD7DBD" w:rsidTr="00DD7DBD">
        <w:tc>
          <w:tcPr>
            <w:tcW w:w="4675" w:type="dxa"/>
          </w:tcPr>
          <w:p w:rsidR="00DD7DBD" w:rsidRPr="00DD7DBD" w:rsidRDefault="00DD7DBD" w:rsidP="007C0689">
            <w:pPr>
              <w:ind w:left="0" w:firstLine="0"/>
              <w:jc w:val="left"/>
              <w:rPr>
                <w:b/>
                <w:lang w:val="id-ID"/>
              </w:rPr>
            </w:pPr>
            <w:r w:rsidRPr="00DD7DBD">
              <w:rPr>
                <w:b/>
                <w:lang w:val="id-ID"/>
              </w:rPr>
              <w:lastRenderedPageBreak/>
              <w:t>Principles in AICPA Auditing Standards</w:t>
            </w:r>
          </w:p>
        </w:tc>
        <w:tc>
          <w:tcPr>
            <w:tcW w:w="4675" w:type="dxa"/>
          </w:tcPr>
          <w:p w:rsidR="00DD7DBD" w:rsidRPr="00DD7DBD" w:rsidRDefault="00DD7DBD" w:rsidP="007C0689">
            <w:pPr>
              <w:ind w:left="0" w:firstLine="0"/>
              <w:jc w:val="left"/>
              <w:rPr>
                <w:b/>
                <w:lang w:val="id-ID"/>
              </w:rPr>
            </w:pPr>
            <w:r w:rsidRPr="00DD7DBD">
              <w:rPr>
                <w:b/>
                <w:lang w:val="id-ID"/>
              </w:rPr>
              <w:t>PCAOB Generally Accepted Auditing Standards</w:t>
            </w:r>
          </w:p>
        </w:tc>
      </w:tr>
      <w:tr w:rsidR="00DD7DBD" w:rsidTr="007C0689">
        <w:tc>
          <w:tcPr>
            <w:tcW w:w="4675" w:type="dxa"/>
          </w:tcPr>
          <w:p w:rsidR="00DD7DBD" w:rsidRDefault="00DD7DBD" w:rsidP="007C0689">
            <w:pPr>
              <w:ind w:left="0" w:firstLine="0"/>
              <w:jc w:val="left"/>
              <w:rPr>
                <w:b/>
                <w:lang w:val="id-ID"/>
              </w:rPr>
            </w:pPr>
            <w:r w:rsidRPr="00FE3473">
              <w:rPr>
                <w:b/>
                <w:lang w:val="id-ID"/>
              </w:rPr>
              <w:t>Performance</w:t>
            </w:r>
          </w:p>
          <w:p w:rsidR="00DD7DBD" w:rsidRDefault="00DD7DBD" w:rsidP="007C0689">
            <w:pPr>
              <w:pStyle w:val="ListParagraph"/>
              <w:numPr>
                <w:ilvl w:val="0"/>
                <w:numId w:val="21"/>
              </w:numPr>
              <w:jc w:val="left"/>
              <w:rPr>
                <w:lang w:val="id-ID"/>
              </w:rPr>
            </w:pPr>
            <w:r w:rsidRPr="00FE3473">
              <w:rPr>
                <w:lang w:val="id-ID"/>
              </w:rPr>
              <w:t>Obtain</w:t>
            </w:r>
            <w:r>
              <w:rPr>
                <w:lang w:val="id-ID"/>
              </w:rPr>
              <w:t xml:space="preserve"> reasonable assurance about whether financial statements are free of material misstatement</w:t>
            </w:r>
          </w:p>
          <w:p w:rsidR="00DD7DBD" w:rsidRDefault="00DD7DBD" w:rsidP="007C0689">
            <w:pPr>
              <w:pStyle w:val="ListParagraph"/>
              <w:numPr>
                <w:ilvl w:val="0"/>
                <w:numId w:val="21"/>
              </w:numPr>
              <w:jc w:val="left"/>
              <w:rPr>
                <w:lang w:val="id-ID"/>
              </w:rPr>
            </w:pPr>
            <w:r>
              <w:rPr>
                <w:lang w:val="id-ID"/>
              </w:rPr>
              <w:t>Plan work and supervise assistants</w:t>
            </w:r>
          </w:p>
          <w:p w:rsidR="00DD7DBD" w:rsidRDefault="00DD7DBD" w:rsidP="007C0689">
            <w:pPr>
              <w:pStyle w:val="ListParagraph"/>
              <w:numPr>
                <w:ilvl w:val="0"/>
                <w:numId w:val="21"/>
              </w:numPr>
              <w:jc w:val="left"/>
              <w:rPr>
                <w:lang w:val="id-ID"/>
              </w:rPr>
            </w:pPr>
            <w:r>
              <w:rPr>
                <w:lang w:val="id-ID"/>
              </w:rPr>
              <w:t>Determine and apply materiality level or levels</w:t>
            </w:r>
          </w:p>
          <w:p w:rsidR="00DD7DBD" w:rsidRDefault="00DD7DBD" w:rsidP="007C0689">
            <w:pPr>
              <w:pStyle w:val="ListParagraph"/>
              <w:numPr>
                <w:ilvl w:val="0"/>
                <w:numId w:val="21"/>
              </w:numPr>
              <w:jc w:val="left"/>
              <w:rPr>
                <w:lang w:val="id-ID"/>
              </w:rPr>
            </w:pPr>
            <w:r>
              <w:rPr>
                <w:lang w:val="id-ID"/>
              </w:rPr>
              <w:t>Identify and assess risks of material misstatement based on understanding of entity and its environment, including internal controls.</w:t>
            </w:r>
          </w:p>
          <w:p w:rsidR="00DD7DBD" w:rsidRPr="00FE3473" w:rsidRDefault="00DD7DBD" w:rsidP="007C0689">
            <w:pPr>
              <w:pStyle w:val="ListParagraph"/>
              <w:numPr>
                <w:ilvl w:val="0"/>
                <w:numId w:val="21"/>
              </w:numPr>
              <w:jc w:val="left"/>
              <w:rPr>
                <w:lang w:val="id-ID"/>
              </w:rPr>
            </w:pPr>
            <w:r>
              <w:rPr>
                <w:lang w:val="id-ID"/>
              </w:rPr>
              <w:t>Obtain sufficient appropriate audit evidence</w:t>
            </w:r>
          </w:p>
        </w:tc>
        <w:tc>
          <w:tcPr>
            <w:tcW w:w="4675" w:type="dxa"/>
          </w:tcPr>
          <w:p w:rsidR="00DD7DBD" w:rsidRDefault="00DD7DBD" w:rsidP="007C0689">
            <w:pPr>
              <w:ind w:left="0" w:firstLine="0"/>
              <w:jc w:val="left"/>
              <w:rPr>
                <w:b/>
                <w:lang w:val="id-ID"/>
              </w:rPr>
            </w:pPr>
            <w:r w:rsidRPr="00DD7DBD">
              <w:rPr>
                <w:b/>
                <w:lang w:val="id-ID"/>
              </w:rPr>
              <w:t>Standards of Field Work</w:t>
            </w:r>
          </w:p>
          <w:p w:rsidR="00DD7DBD" w:rsidRDefault="00DD7DBD" w:rsidP="00DD7DBD">
            <w:pPr>
              <w:pStyle w:val="ListParagraph"/>
              <w:numPr>
                <w:ilvl w:val="0"/>
                <w:numId w:val="22"/>
              </w:numPr>
              <w:jc w:val="left"/>
              <w:rPr>
                <w:lang w:val="id-ID"/>
              </w:rPr>
            </w:pPr>
            <w:r>
              <w:rPr>
                <w:lang w:val="id-ID"/>
              </w:rPr>
              <w:t>Proper planning and supervision</w:t>
            </w:r>
          </w:p>
          <w:p w:rsidR="00DD7DBD" w:rsidRDefault="00DD7DBD" w:rsidP="00DD7DBD">
            <w:pPr>
              <w:pStyle w:val="ListParagraph"/>
              <w:numPr>
                <w:ilvl w:val="0"/>
                <w:numId w:val="22"/>
              </w:numPr>
              <w:jc w:val="left"/>
              <w:rPr>
                <w:lang w:val="id-ID"/>
              </w:rPr>
            </w:pPr>
            <w:r>
              <w:rPr>
                <w:lang w:val="id-ID"/>
              </w:rPr>
              <w:t>Independence in mental attitude</w:t>
            </w:r>
          </w:p>
          <w:p w:rsidR="00DD7DBD" w:rsidRPr="00DD7DBD" w:rsidRDefault="00DD7DBD" w:rsidP="00DD7DBD">
            <w:pPr>
              <w:pStyle w:val="ListParagraph"/>
              <w:numPr>
                <w:ilvl w:val="0"/>
                <w:numId w:val="22"/>
              </w:numPr>
              <w:jc w:val="left"/>
              <w:rPr>
                <w:lang w:val="id-ID"/>
              </w:rPr>
            </w:pPr>
            <w:r>
              <w:rPr>
                <w:lang w:val="id-ID"/>
              </w:rPr>
              <w:t>Due professional care</w:t>
            </w:r>
          </w:p>
        </w:tc>
      </w:tr>
      <w:tr w:rsidR="00DD7DBD" w:rsidTr="007C0689">
        <w:tc>
          <w:tcPr>
            <w:tcW w:w="4675" w:type="dxa"/>
          </w:tcPr>
          <w:p w:rsidR="00DD7DBD" w:rsidRDefault="00DD7DBD" w:rsidP="007C0689">
            <w:pPr>
              <w:ind w:left="0" w:firstLine="0"/>
              <w:jc w:val="left"/>
              <w:rPr>
                <w:b/>
                <w:lang w:val="id-ID"/>
              </w:rPr>
            </w:pPr>
            <w:r w:rsidRPr="00DD7DBD">
              <w:rPr>
                <w:b/>
                <w:lang w:val="id-ID"/>
              </w:rPr>
              <w:t>Reporting</w:t>
            </w:r>
          </w:p>
          <w:p w:rsidR="00DD7DBD" w:rsidRDefault="00DD7DBD" w:rsidP="00DD7DBD">
            <w:pPr>
              <w:pStyle w:val="ListParagraph"/>
              <w:numPr>
                <w:ilvl w:val="0"/>
                <w:numId w:val="23"/>
              </w:numPr>
              <w:jc w:val="left"/>
              <w:rPr>
                <w:lang w:val="id-ID"/>
              </w:rPr>
            </w:pPr>
            <w:r>
              <w:rPr>
                <w:lang w:val="id-ID"/>
              </w:rPr>
              <w:t>Express opinion on financial statements in a written report</w:t>
            </w:r>
          </w:p>
          <w:p w:rsidR="00DD7DBD" w:rsidRPr="00DD7DBD" w:rsidRDefault="00DD7DBD" w:rsidP="00DD7DBD">
            <w:pPr>
              <w:pStyle w:val="ListParagraph"/>
              <w:numPr>
                <w:ilvl w:val="0"/>
                <w:numId w:val="23"/>
              </w:numPr>
              <w:jc w:val="left"/>
              <w:rPr>
                <w:lang w:val="id-ID"/>
              </w:rPr>
            </w:pPr>
            <w:r>
              <w:rPr>
                <w:lang w:val="id-ID"/>
              </w:rPr>
              <w:t>Whether financial statements were presented fairly in accordance with financial reporting framework.</w:t>
            </w:r>
          </w:p>
        </w:tc>
        <w:tc>
          <w:tcPr>
            <w:tcW w:w="4675" w:type="dxa"/>
          </w:tcPr>
          <w:p w:rsidR="00DD7DBD" w:rsidRDefault="00DD7DBD" w:rsidP="007C0689">
            <w:pPr>
              <w:ind w:left="0" w:firstLine="0"/>
              <w:jc w:val="left"/>
              <w:rPr>
                <w:b/>
                <w:lang w:val="id-ID"/>
              </w:rPr>
            </w:pPr>
            <w:r w:rsidRPr="00DD7DBD">
              <w:rPr>
                <w:b/>
                <w:lang w:val="id-ID"/>
              </w:rPr>
              <w:t>Standards of Reporting</w:t>
            </w:r>
          </w:p>
          <w:p w:rsidR="00DD7DBD" w:rsidRDefault="00DD7DBD" w:rsidP="00DD7DBD">
            <w:pPr>
              <w:pStyle w:val="ListParagraph"/>
              <w:numPr>
                <w:ilvl w:val="0"/>
                <w:numId w:val="24"/>
              </w:numPr>
              <w:jc w:val="left"/>
              <w:rPr>
                <w:lang w:val="id-ID"/>
              </w:rPr>
            </w:pPr>
            <w:r>
              <w:rPr>
                <w:lang w:val="id-ID"/>
              </w:rPr>
              <w:t>Whether statements were prepared in accordance with GAAP</w:t>
            </w:r>
          </w:p>
          <w:p w:rsidR="00DD7DBD" w:rsidRDefault="00DD7DBD" w:rsidP="00DD7DBD">
            <w:pPr>
              <w:pStyle w:val="ListParagraph"/>
              <w:numPr>
                <w:ilvl w:val="0"/>
                <w:numId w:val="24"/>
              </w:numPr>
              <w:jc w:val="left"/>
              <w:rPr>
                <w:lang w:val="id-ID"/>
              </w:rPr>
            </w:pPr>
            <w:r>
              <w:rPr>
                <w:lang w:val="id-ID"/>
              </w:rPr>
              <w:t>Circumstances when GAAP not consistently applied</w:t>
            </w:r>
          </w:p>
          <w:p w:rsidR="00DD7DBD" w:rsidRDefault="00DD7DBD" w:rsidP="00DD7DBD">
            <w:pPr>
              <w:pStyle w:val="ListParagraph"/>
              <w:numPr>
                <w:ilvl w:val="0"/>
                <w:numId w:val="24"/>
              </w:numPr>
              <w:jc w:val="left"/>
              <w:rPr>
                <w:lang w:val="id-ID"/>
              </w:rPr>
            </w:pPr>
            <w:r>
              <w:rPr>
                <w:lang w:val="id-ID"/>
              </w:rPr>
              <w:t>Adequacy of informative disclosures</w:t>
            </w:r>
          </w:p>
          <w:p w:rsidR="00DD7DBD" w:rsidRPr="00DD7DBD" w:rsidRDefault="00DD7DBD" w:rsidP="00DD7DBD">
            <w:pPr>
              <w:pStyle w:val="ListParagraph"/>
              <w:numPr>
                <w:ilvl w:val="0"/>
                <w:numId w:val="24"/>
              </w:numPr>
              <w:jc w:val="left"/>
              <w:rPr>
                <w:lang w:val="id-ID"/>
              </w:rPr>
            </w:pPr>
            <w:r>
              <w:rPr>
                <w:lang w:val="id-ID"/>
              </w:rPr>
              <w:t>Expression of opinion in written report</w:t>
            </w:r>
          </w:p>
        </w:tc>
      </w:tr>
    </w:tbl>
    <w:p w:rsidR="00DD7DBD" w:rsidRDefault="00DD7DBD" w:rsidP="00DD7DBD">
      <w:pPr>
        <w:ind w:left="0" w:firstLine="0"/>
        <w:jc w:val="left"/>
        <w:rPr>
          <w:lang w:val="id-ID"/>
        </w:rPr>
      </w:pPr>
    </w:p>
    <w:p w:rsidR="00DD7DBD" w:rsidRPr="00DD7DBD" w:rsidRDefault="00DD7DBD" w:rsidP="00DD7DBD">
      <w:pPr>
        <w:ind w:left="0" w:firstLine="0"/>
        <w:jc w:val="left"/>
        <w:rPr>
          <w:b/>
          <w:lang w:val="id-ID"/>
        </w:rPr>
      </w:pPr>
      <w:r w:rsidRPr="00DD7DBD">
        <w:rPr>
          <w:b/>
          <w:lang w:val="id-ID"/>
        </w:rPr>
        <w:t>QUALITY CONTROL</w:t>
      </w:r>
    </w:p>
    <w:p w:rsidR="00DD7DBD" w:rsidRDefault="00DD7DBD" w:rsidP="00DD7DBD">
      <w:pPr>
        <w:jc w:val="left"/>
        <w:rPr>
          <w:lang w:val="id-ID"/>
        </w:rPr>
      </w:pPr>
    </w:p>
    <w:p w:rsidR="00DD7DBD" w:rsidRDefault="00DD7DBD" w:rsidP="00DD7DBD">
      <w:pPr>
        <w:ind w:left="0" w:firstLine="0"/>
        <w:jc w:val="left"/>
        <w:rPr>
          <w:lang w:val="id-ID"/>
        </w:rPr>
      </w:pPr>
      <w:r>
        <w:rPr>
          <w:lang w:val="id-ID"/>
        </w:rPr>
        <w:t>For CPA firm, quality control comprises of the methods used to ensure that the firm meets its professional responsibilities to clients and others. These methods include the organizational structure of the CPA firm and the procedures the firm establishes.</w:t>
      </w:r>
    </w:p>
    <w:p w:rsidR="00DD7DBD" w:rsidRDefault="00DD7DBD" w:rsidP="00DD7DBD">
      <w:pPr>
        <w:ind w:left="0" w:firstLine="0"/>
        <w:jc w:val="left"/>
        <w:rPr>
          <w:lang w:val="id-ID"/>
        </w:rPr>
      </w:pPr>
    </w:p>
    <w:p w:rsidR="007F7EED" w:rsidRDefault="007F7EED" w:rsidP="00DD7DBD">
      <w:pPr>
        <w:ind w:left="0" w:firstLine="0"/>
        <w:jc w:val="left"/>
        <w:rPr>
          <w:lang w:val="id-ID"/>
        </w:rPr>
      </w:pPr>
      <w:r>
        <w:rPr>
          <w:lang w:val="id-ID"/>
        </w:rPr>
        <w:t xml:space="preserve">Quality control is closely related to but distinct from auditing standards. To ensure that the principles in auditing standards are followed on every audit,  a CPA firm follows specific quality control procedures that help it meet those standards consistently on every engagement. </w:t>
      </w:r>
    </w:p>
    <w:p w:rsidR="007F7EED" w:rsidRDefault="007F7EED" w:rsidP="00DD7DBD">
      <w:pPr>
        <w:ind w:left="0" w:firstLine="0"/>
        <w:jc w:val="left"/>
        <w:rPr>
          <w:lang w:val="id-ID"/>
        </w:rPr>
      </w:pPr>
    </w:p>
    <w:p w:rsidR="007F7EED" w:rsidRPr="00483F13" w:rsidRDefault="007F7EED" w:rsidP="00DD7DBD">
      <w:pPr>
        <w:ind w:left="0" w:firstLine="0"/>
        <w:jc w:val="left"/>
        <w:rPr>
          <w:b/>
          <w:lang w:val="id-ID"/>
        </w:rPr>
      </w:pPr>
      <w:r w:rsidRPr="00483F13">
        <w:rPr>
          <w:b/>
          <w:lang w:val="id-ID"/>
        </w:rPr>
        <w:t>ELEMENT OF QUALITY CONTROL FOR ACCOUNTING FIRMS</w:t>
      </w:r>
    </w:p>
    <w:p w:rsidR="007F7EED" w:rsidRDefault="007F7EED" w:rsidP="00DD7DBD">
      <w:pPr>
        <w:ind w:left="0" w:firstLine="0"/>
        <w:jc w:val="left"/>
        <w:rPr>
          <w:lang w:val="id-ID"/>
        </w:rPr>
      </w:pPr>
    </w:p>
    <w:tbl>
      <w:tblPr>
        <w:tblStyle w:val="TableGrid"/>
        <w:tblW w:w="0" w:type="auto"/>
        <w:tblLook w:val="04A0" w:firstRow="1" w:lastRow="0" w:firstColumn="1" w:lastColumn="0" w:noHBand="0" w:noVBand="1"/>
      </w:tblPr>
      <w:tblGrid>
        <w:gridCol w:w="2830"/>
        <w:gridCol w:w="3403"/>
        <w:gridCol w:w="3117"/>
      </w:tblGrid>
      <w:tr w:rsidR="007F7EED" w:rsidRPr="00327A7B" w:rsidTr="00327A7B">
        <w:tc>
          <w:tcPr>
            <w:tcW w:w="2830" w:type="dxa"/>
          </w:tcPr>
          <w:p w:rsidR="007F7EED" w:rsidRPr="00327A7B" w:rsidRDefault="007F7EED" w:rsidP="00DD7DBD">
            <w:pPr>
              <w:ind w:left="0" w:firstLine="0"/>
              <w:jc w:val="left"/>
              <w:rPr>
                <w:b/>
                <w:lang w:val="id-ID"/>
              </w:rPr>
            </w:pPr>
            <w:r w:rsidRPr="00327A7B">
              <w:rPr>
                <w:b/>
                <w:lang w:val="id-ID"/>
              </w:rPr>
              <w:t xml:space="preserve">Element </w:t>
            </w:r>
          </w:p>
        </w:tc>
        <w:tc>
          <w:tcPr>
            <w:tcW w:w="3403" w:type="dxa"/>
          </w:tcPr>
          <w:p w:rsidR="007F7EED" w:rsidRPr="00327A7B" w:rsidRDefault="007F7EED" w:rsidP="00DD7DBD">
            <w:pPr>
              <w:ind w:left="0" w:firstLine="0"/>
              <w:jc w:val="left"/>
              <w:rPr>
                <w:b/>
                <w:lang w:val="id-ID"/>
              </w:rPr>
            </w:pPr>
            <w:r w:rsidRPr="00327A7B">
              <w:rPr>
                <w:b/>
                <w:lang w:val="id-ID"/>
              </w:rPr>
              <w:t>Summary of Requirement</w:t>
            </w:r>
          </w:p>
        </w:tc>
        <w:tc>
          <w:tcPr>
            <w:tcW w:w="3117" w:type="dxa"/>
          </w:tcPr>
          <w:p w:rsidR="007F7EED" w:rsidRPr="00327A7B" w:rsidRDefault="007F7EED" w:rsidP="00DD7DBD">
            <w:pPr>
              <w:ind w:left="0" w:firstLine="0"/>
              <w:jc w:val="left"/>
              <w:rPr>
                <w:b/>
                <w:lang w:val="id-ID"/>
              </w:rPr>
            </w:pPr>
            <w:r w:rsidRPr="00327A7B">
              <w:rPr>
                <w:b/>
                <w:lang w:val="id-ID"/>
              </w:rPr>
              <w:t xml:space="preserve">Example of </w:t>
            </w:r>
            <w:r w:rsidR="00327A7B" w:rsidRPr="00327A7B">
              <w:rPr>
                <w:b/>
                <w:lang w:val="id-ID"/>
              </w:rPr>
              <w:t xml:space="preserve">a </w:t>
            </w:r>
            <w:r w:rsidRPr="00327A7B">
              <w:rPr>
                <w:b/>
                <w:lang w:val="id-ID"/>
              </w:rPr>
              <w:t>Pocedure</w:t>
            </w:r>
          </w:p>
        </w:tc>
      </w:tr>
      <w:tr w:rsidR="007F7EED" w:rsidTr="00327A7B">
        <w:tc>
          <w:tcPr>
            <w:tcW w:w="2830" w:type="dxa"/>
          </w:tcPr>
          <w:p w:rsidR="007F7EED" w:rsidRDefault="007F7EED" w:rsidP="00DD7DBD">
            <w:pPr>
              <w:ind w:left="0" w:firstLine="0"/>
              <w:jc w:val="left"/>
              <w:rPr>
                <w:lang w:val="id-ID"/>
              </w:rPr>
            </w:pPr>
            <w:r>
              <w:rPr>
                <w:lang w:val="id-ID"/>
              </w:rPr>
              <w:t>Leadership responsibilities for quality within the firm (“tone at the top)</w:t>
            </w:r>
          </w:p>
        </w:tc>
        <w:tc>
          <w:tcPr>
            <w:tcW w:w="3403" w:type="dxa"/>
          </w:tcPr>
          <w:p w:rsidR="007F7EED" w:rsidRDefault="00327A7B" w:rsidP="00DD7DBD">
            <w:pPr>
              <w:ind w:left="0" w:firstLine="0"/>
              <w:jc w:val="left"/>
              <w:rPr>
                <w:lang w:val="id-ID"/>
              </w:rPr>
            </w:pPr>
            <w:r>
              <w:rPr>
                <w:lang w:val="id-ID"/>
              </w:rPr>
              <w:t>The firm should promote a culture that quality is essential in performing engagements and should establish policies and procedures that sport that culture.</w:t>
            </w:r>
          </w:p>
        </w:tc>
        <w:tc>
          <w:tcPr>
            <w:tcW w:w="3117" w:type="dxa"/>
          </w:tcPr>
          <w:p w:rsidR="007F7EED" w:rsidRDefault="00327A7B" w:rsidP="00DD7DBD">
            <w:pPr>
              <w:ind w:left="0" w:firstLine="0"/>
              <w:jc w:val="left"/>
              <w:rPr>
                <w:lang w:val="id-ID"/>
              </w:rPr>
            </w:pPr>
            <w:r>
              <w:rPr>
                <w:lang w:val="id-ID"/>
              </w:rPr>
              <w:t>The firm’s training programs emphasize the importance of quality work, and this is reinforced in performance evauation and compensation decisions.</w:t>
            </w:r>
          </w:p>
        </w:tc>
      </w:tr>
    </w:tbl>
    <w:p w:rsidR="00DD7DBD" w:rsidRDefault="00DD7DBD" w:rsidP="00864289">
      <w:pPr>
        <w:jc w:val="left"/>
        <w:rPr>
          <w:lang w:val="id-ID"/>
        </w:rPr>
      </w:pPr>
    </w:p>
    <w:p w:rsidR="00327A7B" w:rsidRDefault="00327A7B" w:rsidP="00864289">
      <w:pPr>
        <w:jc w:val="left"/>
        <w:rPr>
          <w:lang w:val="id-ID"/>
        </w:rPr>
      </w:pPr>
    </w:p>
    <w:tbl>
      <w:tblPr>
        <w:tblStyle w:val="TableGrid"/>
        <w:tblW w:w="0" w:type="auto"/>
        <w:tblLook w:val="04A0" w:firstRow="1" w:lastRow="0" w:firstColumn="1" w:lastColumn="0" w:noHBand="0" w:noVBand="1"/>
      </w:tblPr>
      <w:tblGrid>
        <w:gridCol w:w="2972"/>
        <w:gridCol w:w="3261"/>
        <w:gridCol w:w="3117"/>
      </w:tblGrid>
      <w:tr w:rsidR="00327A7B" w:rsidRPr="00327A7B" w:rsidTr="00327A7B">
        <w:tc>
          <w:tcPr>
            <w:tcW w:w="2972" w:type="dxa"/>
          </w:tcPr>
          <w:p w:rsidR="00327A7B" w:rsidRPr="00327A7B" w:rsidRDefault="00327A7B" w:rsidP="007C0689">
            <w:pPr>
              <w:ind w:left="0" w:firstLine="0"/>
              <w:jc w:val="left"/>
              <w:rPr>
                <w:b/>
                <w:lang w:val="id-ID"/>
              </w:rPr>
            </w:pPr>
            <w:r w:rsidRPr="00327A7B">
              <w:rPr>
                <w:b/>
                <w:lang w:val="id-ID"/>
              </w:rPr>
              <w:lastRenderedPageBreak/>
              <w:t xml:space="preserve">Element </w:t>
            </w:r>
          </w:p>
        </w:tc>
        <w:tc>
          <w:tcPr>
            <w:tcW w:w="3261" w:type="dxa"/>
          </w:tcPr>
          <w:p w:rsidR="00327A7B" w:rsidRPr="00327A7B" w:rsidRDefault="00327A7B" w:rsidP="007C0689">
            <w:pPr>
              <w:ind w:left="0" w:firstLine="0"/>
              <w:jc w:val="left"/>
              <w:rPr>
                <w:b/>
                <w:lang w:val="id-ID"/>
              </w:rPr>
            </w:pPr>
            <w:r w:rsidRPr="00327A7B">
              <w:rPr>
                <w:b/>
                <w:lang w:val="id-ID"/>
              </w:rPr>
              <w:t>Summary of Requirement</w:t>
            </w:r>
          </w:p>
        </w:tc>
        <w:tc>
          <w:tcPr>
            <w:tcW w:w="3117" w:type="dxa"/>
          </w:tcPr>
          <w:p w:rsidR="00327A7B" w:rsidRPr="00327A7B" w:rsidRDefault="00327A7B" w:rsidP="007C0689">
            <w:pPr>
              <w:ind w:left="0" w:firstLine="0"/>
              <w:jc w:val="left"/>
              <w:rPr>
                <w:b/>
                <w:lang w:val="id-ID"/>
              </w:rPr>
            </w:pPr>
            <w:r w:rsidRPr="00327A7B">
              <w:rPr>
                <w:b/>
                <w:lang w:val="id-ID"/>
              </w:rPr>
              <w:t>Example of a Pocedure</w:t>
            </w:r>
          </w:p>
        </w:tc>
      </w:tr>
      <w:tr w:rsidR="00327A7B" w:rsidTr="00327A7B">
        <w:tc>
          <w:tcPr>
            <w:tcW w:w="2972" w:type="dxa"/>
          </w:tcPr>
          <w:p w:rsidR="00327A7B" w:rsidRDefault="00327A7B" w:rsidP="007C0689">
            <w:pPr>
              <w:ind w:left="0" w:firstLine="0"/>
              <w:jc w:val="left"/>
              <w:rPr>
                <w:lang w:val="id-ID"/>
              </w:rPr>
            </w:pPr>
            <w:r>
              <w:rPr>
                <w:lang w:val="id-ID"/>
              </w:rPr>
              <w:t>Relevant ethical requirements</w:t>
            </w:r>
          </w:p>
        </w:tc>
        <w:tc>
          <w:tcPr>
            <w:tcW w:w="3261" w:type="dxa"/>
          </w:tcPr>
          <w:p w:rsidR="00327A7B" w:rsidRDefault="00327A7B" w:rsidP="007C0689">
            <w:pPr>
              <w:ind w:left="0" w:firstLine="0"/>
              <w:jc w:val="left"/>
              <w:rPr>
                <w:lang w:val="id-ID"/>
              </w:rPr>
            </w:pPr>
            <w:r>
              <w:rPr>
                <w:lang w:val="id-ID"/>
              </w:rPr>
              <w:t>All personnel on engagements should maintain independence in fact and in appearance, perform all professional responsibilities with integrity, and maintain objectivity in performing their professional responsibilities.</w:t>
            </w:r>
          </w:p>
        </w:tc>
        <w:tc>
          <w:tcPr>
            <w:tcW w:w="3117" w:type="dxa"/>
          </w:tcPr>
          <w:p w:rsidR="00327A7B" w:rsidRDefault="00327A7B" w:rsidP="007C0689">
            <w:pPr>
              <w:ind w:left="0" w:firstLine="0"/>
              <w:jc w:val="left"/>
              <w:rPr>
                <w:lang w:val="id-ID"/>
              </w:rPr>
            </w:pPr>
            <w:r>
              <w:rPr>
                <w:lang w:val="id-ID"/>
              </w:rPr>
              <w:t>Each partner and employee must answer an “indepences questionnaire” annually, dealing with such things as stock ownership and membership on boards of directors.</w:t>
            </w:r>
          </w:p>
        </w:tc>
      </w:tr>
      <w:tr w:rsidR="00327A7B" w:rsidTr="00327A7B">
        <w:tc>
          <w:tcPr>
            <w:tcW w:w="2972" w:type="dxa"/>
          </w:tcPr>
          <w:p w:rsidR="00327A7B" w:rsidRDefault="00327A7B" w:rsidP="007C0689">
            <w:pPr>
              <w:ind w:left="0" w:firstLine="0"/>
              <w:jc w:val="left"/>
              <w:rPr>
                <w:lang w:val="id-ID"/>
              </w:rPr>
            </w:pPr>
            <w:r>
              <w:rPr>
                <w:lang w:val="id-ID"/>
              </w:rPr>
              <w:t>Acceptance and continuation of clients and engagements</w:t>
            </w:r>
          </w:p>
        </w:tc>
        <w:tc>
          <w:tcPr>
            <w:tcW w:w="3261" w:type="dxa"/>
          </w:tcPr>
          <w:p w:rsidR="00327A7B" w:rsidRDefault="00A11224" w:rsidP="007C0689">
            <w:pPr>
              <w:ind w:left="0" w:firstLine="0"/>
              <w:jc w:val="left"/>
              <w:rPr>
                <w:lang w:val="id-ID"/>
              </w:rPr>
            </w:pPr>
            <w:r>
              <w:rPr>
                <w:lang w:val="id-ID"/>
              </w:rPr>
              <w:t>Policies and procedures should be established for deciding whether to accept or continue a client relationship. These policies and procedures should minimize the risk of associating with a client whose management lacks integrity. The firm should also only undertake engagements that can be completed with professional competence,</w:t>
            </w:r>
          </w:p>
        </w:tc>
        <w:tc>
          <w:tcPr>
            <w:tcW w:w="3117" w:type="dxa"/>
          </w:tcPr>
          <w:p w:rsidR="00327A7B" w:rsidRDefault="00A11224" w:rsidP="007C0689">
            <w:pPr>
              <w:ind w:left="0" w:firstLine="0"/>
              <w:jc w:val="left"/>
              <w:rPr>
                <w:lang w:val="id-ID"/>
              </w:rPr>
            </w:pPr>
            <w:r>
              <w:rPr>
                <w:lang w:val="id-ID"/>
              </w:rPr>
              <w:t>A client evaluation form, dealing with such matters as predecessor auditor comments and evaluation of management, must be prepared for every new client before acceptance.</w:t>
            </w:r>
          </w:p>
        </w:tc>
      </w:tr>
      <w:tr w:rsidR="00327A7B" w:rsidTr="00327A7B">
        <w:tc>
          <w:tcPr>
            <w:tcW w:w="2972" w:type="dxa"/>
          </w:tcPr>
          <w:p w:rsidR="00327A7B" w:rsidRDefault="00327A7B" w:rsidP="007C0689">
            <w:pPr>
              <w:ind w:left="0" w:firstLine="0"/>
              <w:jc w:val="left"/>
              <w:rPr>
                <w:lang w:val="id-ID"/>
              </w:rPr>
            </w:pPr>
            <w:r>
              <w:rPr>
                <w:lang w:val="id-ID"/>
              </w:rPr>
              <w:t>Human resources</w:t>
            </w:r>
          </w:p>
        </w:tc>
        <w:tc>
          <w:tcPr>
            <w:tcW w:w="3261" w:type="dxa"/>
          </w:tcPr>
          <w:p w:rsidR="00327A7B" w:rsidRDefault="00A11224" w:rsidP="007C0689">
            <w:pPr>
              <w:ind w:left="0" w:firstLine="0"/>
              <w:jc w:val="left"/>
              <w:rPr>
                <w:lang w:val="id-ID"/>
              </w:rPr>
            </w:pPr>
            <w:r>
              <w:rPr>
                <w:lang w:val="id-ID"/>
              </w:rPr>
              <w:t>Policies and procedures should be establised to provide the firm with reasonable assurance that:</w:t>
            </w:r>
          </w:p>
          <w:p w:rsidR="00A11224" w:rsidRDefault="00A11224" w:rsidP="00A11224">
            <w:pPr>
              <w:pStyle w:val="ListParagraph"/>
              <w:numPr>
                <w:ilvl w:val="0"/>
                <w:numId w:val="25"/>
              </w:numPr>
              <w:jc w:val="left"/>
              <w:rPr>
                <w:lang w:val="id-ID"/>
              </w:rPr>
            </w:pPr>
            <w:r>
              <w:rPr>
                <w:lang w:val="id-ID"/>
              </w:rPr>
              <w:t>All new personnel should be qualified to perform their work competently.</w:t>
            </w:r>
          </w:p>
          <w:p w:rsidR="00A11224" w:rsidRDefault="00A11224" w:rsidP="00A11224">
            <w:pPr>
              <w:pStyle w:val="ListParagraph"/>
              <w:numPr>
                <w:ilvl w:val="0"/>
                <w:numId w:val="25"/>
              </w:numPr>
              <w:jc w:val="left"/>
              <w:rPr>
                <w:lang w:val="id-ID"/>
              </w:rPr>
            </w:pPr>
            <w:r>
              <w:rPr>
                <w:lang w:val="id-ID"/>
              </w:rPr>
              <w:t>Work is assigned to personnel who have adequate technical training and proficiency.</w:t>
            </w:r>
          </w:p>
          <w:p w:rsidR="00A11224" w:rsidRPr="00483F13" w:rsidRDefault="00A11224" w:rsidP="00483F13">
            <w:pPr>
              <w:pStyle w:val="ListParagraph"/>
              <w:numPr>
                <w:ilvl w:val="0"/>
                <w:numId w:val="25"/>
              </w:numPr>
              <w:jc w:val="left"/>
              <w:rPr>
                <w:lang w:val="id-ID"/>
              </w:rPr>
            </w:pPr>
            <w:r>
              <w:rPr>
                <w:lang w:val="id-ID"/>
              </w:rPr>
              <w:t xml:space="preserve">All personnel should participate in continuing professional education and professional development activities that enable them to fulfill </w:t>
            </w:r>
            <w:r w:rsidR="00483F13">
              <w:rPr>
                <w:lang w:val="id-ID"/>
              </w:rPr>
              <w:t>their assigned responsibilities.</w:t>
            </w:r>
          </w:p>
        </w:tc>
        <w:tc>
          <w:tcPr>
            <w:tcW w:w="3117" w:type="dxa"/>
          </w:tcPr>
          <w:p w:rsidR="00327A7B" w:rsidRDefault="00483F13" w:rsidP="007C0689">
            <w:pPr>
              <w:ind w:left="0" w:firstLine="0"/>
              <w:jc w:val="left"/>
              <w:rPr>
                <w:lang w:val="id-ID"/>
              </w:rPr>
            </w:pPr>
            <w:r>
              <w:rPr>
                <w:lang w:val="id-ID"/>
              </w:rPr>
              <w:t>Each professional must be evaluated on every engagement using the firm’s individual engagement evaluation report.</w:t>
            </w:r>
          </w:p>
        </w:tc>
      </w:tr>
    </w:tbl>
    <w:p w:rsidR="00327A7B" w:rsidRDefault="00327A7B" w:rsidP="00864289">
      <w:pPr>
        <w:jc w:val="left"/>
        <w:rPr>
          <w:lang w:val="id-ID"/>
        </w:rPr>
      </w:pPr>
    </w:p>
    <w:p w:rsidR="00483F13" w:rsidRDefault="00483F13" w:rsidP="00864289">
      <w:pPr>
        <w:jc w:val="left"/>
        <w:rPr>
          <w:lang w:val="id-ID"/>
        </w:rPr>
      </w:pPr>
    </w:p>
    <w:p w:rsidR="00483F13" w:rsidRDefault="00483F13" w:rsidP="00864289">
      <w:pPr>
        <w:jc w:val="left"/>
        <w:rPr>
          <w:lang w:val="id-ID"/>
        </w:rPr>
      </w:pPr>
    </w:p>
    <w:tbl>
      <w:tblPr>
        <w:tblStyle w:val="TableGrid"/>
        <w:tblW w:w="0" w:type="auto"/>
        <w:tblLook w:val="04A0" w:firstRow="1" w:lastRow="0" w:firstColumn="1" w:lastColumn="0" w:noHBand="0" w:noVBand="1"/>
      </w:tblPr>
      <w:tblGrid>
        <w:gridCol w:w="2972"/>
        <w:gridCol w:w="3261"/>
        <w:gridCol w:w="3117"/>
      </w:tblGrid>
      <w:tr w:rsidR="00483F13" w:rsidRPr="00327A7B" w:rsidTr="007C0689">
        <w:tc>
          <w:tcPr>
            <w:tcW w:w="2972" w:type="dxa"/>
          </w:tcPr>
          <w:p w:rsidR="00483F13" w:rsidRPr="00327A7B" w:rsidRDefault="00483F13" w:rsidP="007C0689">
            <w:pPr>
              <w:ind w:left="0" w:firstLine="0"/>
              <w:jc w:val="left"/>
              <w:rPr>
                <w:b/>
                <w:lang w:val="id-ID"/>
              </w:rPr>
            </w:pPr>
            <w:r w:rsidRPr="00327A7B">
              <w:rPr>
                <w:b/>
                <w:lang w:val="id-ID"/>
              </w:rPr>
              <w:lastRenderedPageBreak/>
              <w:t xml:space="preserve">Element </w:t>
            </w:r>
          </w:p>
        </w:tc>
        <w:tc>
          <w:tcPr>
            <w:tcW w:w="3261" w:type="dxa"/>
          </w:tcPr>
          <w:p w:rsidR="00483F13" w:rsidRPr="00327A7B" w:rsidRDefault="00483F13" w:rsidP="007C0689">
            <w:pPr>
              <w:ind w:left="0" w:firstLine="0"/>
              <w:jc w:val="left"/>
              <w:rPr>
                <w:b/>
                <w:lang w:val="id-ID"/>
              </w:rPr>
            </w:pPr>
            <w:r w:rsidRPr="00327A7B">
              <w:rPr>
                <w:b/>
                <w:lang w:val="id-ID"/>
              </w:rPr>
              <w:t>Summary of Requirement</w:t>
            </w:r>
          </w:p>
        </w:tc>
        <w:tc>
          <w:tcPr>
            <w:tcW w:w="3117" w:type="dxa"/>
          </w:tcPr>
          <w:p w:rsidR="00483F13" w:rsidRPr="00327A7B" w:rsidRDefault="00483F13" w:rsidP="007C0689">
            <w:pPr>
              <w:ind w:left="0" w:firstLine="0"/>
              <w:jc w:val="left"/>
              <w:rPr>
                <w:b/>
                <w:lang w:val="id-ID"/>
              </w:rPr>
            </w:pPr>
            <w:r w:rsidRPr="00327A7B">
              <w:rPr>
                <w:b/>
                <w:lang w:val="id-ID"/>
              </w:rPr>
              <w:t>Example of a Pocedure</w:t>
            </w:r>
          </w:p>
        </w:tc>
      </w:tr>
      <w:tr w:rsidR="00483F13" w:rsidTr="007C0689">
        <w:tc>
          <w:tcPr>
            <w:tcW w:w="2972" w:type="dxa"/>
          </w:tcPr>
          <w:p w:rsidR="00483F13" w:rsidRDefault="00483F13" w:rsidP="007C0689">
            <w:pPr>
              <w:ind w:left="0" w:firstLine="0"/>
              <w:jc w:val="left"/>
              <w:rPr>
                <w:lang w:val="id-ID"/>
              </w:rPr>
            </w:pPr>
          </w:p>
        </w:tc>
        <w:tc>
          <w:tcPr>
            <w:tcW w:w="3261" w:type="dxa"/>
          </w:tcPr>
          <w:p w:rsidR="00483F13" w:rsidRPr="00483F13" w:rsidRDefault="00483F13" w:rsidP="007C0689">
            <w:pPr>
              <w:pStyle w:val="ListParagraph"/>
              <w:numPr>
                <w:ilvl w:val="0"/>
                <w:numId w:val="26"/>
              </w:numPr>
              <w:jc w:val="left"/>
              <w:rPr>
                <w:lang w:val="id-ID"/>
              </w:rPr>
            </w:pPr>
            <w:r w:rsidRPr="00483F13">
              <w:rPr>
                <w:lang w:val="id-ID"/>
              </w:rPr>
              <w:t>Personnel selected for advancement have the qualifications necessary for the fulfillment of their assigned responsibilities.</w:t>
            </w:r>
          </w:p>
        </w:tc>
        <w:tc>
          <w:tcPr>
            <w:tcW w:w="3117" w:type="dxa"/>
          </w:tcPr>
          <w:p w:rsidR="00483F13" w:rsidRDefault="00483F13" w:rsidP="007C0689">
            <w:pPr>
              <w:ind w:left="0" w:firstLine="0"/>
              <w:jc w:val="left"/>
              <w:rPr>
                <w:lang w:val="id-ID"/>
              </w:rPr>
            </w:pPr>
          </w:p>
        </w:tc>
      </w:tr>
      <w:tr w:rsidR="00483F13" w:rsidTr="007C0689">
        <w:tc>
          <w:tcPr>
            <w:tcW w:w="2972" w:type="dxa"/>
          </w:tcPr>
          <w:p w:rsidR="00483F13" w:rsidRDefault="00483F13" w:rsidP="007C0689">
            <w:pPr>
              <w:ind w:left="0" w:firstLine="0"/>
              <w:jc w:val="left"/>
              <w:rPr>
                <w:lang w:val="id-ID"/>
              </w:rPr>
            </w:pPr>
            <w:r>
              <w:rPr>
                <w:lang w:val="id-ID"/>
              </w:rPr>
              <w:t>Engagement performance</w:t>
            </w:r>
          </w:p>
        </w:tc>
        <w:tc>
          <w:tcPr>
            <w:tcW w:w="3261" w:type="dxa"/>
          </w:tcPr>
          <w:p w:rsidR="00483F13" w:rsidRDefault="00483F13" w:rsidP="007C0689">
            <w:pPr>
              <w:ind w:left="0" w:firstLine="0"/>
              <w:jc w:val="left"/>
              <w:rPr>
                <w:lang w:val="id-ID"/>
              </w:rPr>
            </w:pPr>
            <w:r>
              <w:rPr>
                <w:lang w:val="id-ID"/>
              </w:rPr>
              <w:t>Policies and procedures should exist to ensure that the work performed by engagement personnel meets applicable professional standards, regulatory requirements, and the firm’s standards of quality.</w:t>
            </w:r>
          </w:p>
        </w:tc>
        <w:tc>
          <w:tcPr>
            <w:tcW w:w="3117" w:type="dxa"/>
          </w:tcPr>
          <w:p w:rsidR="00483F13" w:rsidRDefault="00483F13" w:rsidP="007C0689">
            <w:pPr>
              <w:ind w:left="0" w:firstLine="0"/>
              <w:jc w:val="left"/>
              <w:rPr>
                <w:lang w:val="id-ID"/>
              </w:rPr>
            </w:pPr>
            <w:r>
              <w:rPr>
                <w:lang w:val="id-ID"/>
              </w:rPr>
              <w:t>The firm’s director of accounting and auditing is available for consultation and must approve all engagements before their completion.</w:t>
            </w:r>
          </w:p>
        </w:tc>
      </w:tr>
      <w:tr w:rsidR="00483F13" w:rsidTr="007C0689">
        <w:tc>
          <w:tcPr>
            <w:tcW w:w="2972" w:type="dxa"/>
          </w:tcPr>
          <w:p w:rsidR="00483F13" w:rsidRDefault="00483F13" w:rsidP="007C0689">
            <w:pPr>
              <w:ind w:left="0" w:firstLine="0"/>
              <w:jc w:val="left"/>
              <w:rPr>
                <w:lang w:val="id-ID"/>
              </w:rPr>
            </w:pPr>
            <w:r>
              <w:rPr>
                <w:lang w:val="id-ID"/>
              </w:rPr>
              <w:t>Monitoring</w:t>
            </w:r>
          </w:p>
        </w:tc>
        <w:tc>
          <w:tcPr>
            <w:tcW w:w="3261" w:type="dxa"/>
          </w:tcPr>
          <w:p w:rsidR="00483F13" w:rsidRDefault="00483F13" w:rsidP="007C0689">
            <w:pPr>
              <w:ind w:left="0" w:firstLine="0"/>
              <w:jc w:val="left"/>
              <w:rPr>
                <w:lang w:val="id-ID"/>
              </w:rPr>
            </w:pPr>
            <w:r>
              <w:rPr>
                <w:lang w:val="id-ID"/>
              </w:rPr>
              <w:t>Policies and procedures should exist to ensure that the other quality control elements are being effectively applied.</w:t>
            </w:r>
          </w:p>
        </w:tc>
        <w:tc>
          <w:tcPr>
            <w:tcW w:w="3117" w:type="dxa"/>
          </w:tcPr>
          <w:p w:rsidR="00483F13" w:rsidRDefault="00483F13" w:rsidP="007C0689">
            <w:pPr>
              <w:ind w:left="0" w:firstLine="0"/>
              <w:jc w:val="left"/>
              <w:rPr>
                <w:lang w:val="id-ID"/>
              </w:rPr>
            </w:pPr>
            <w:r>
              <w:rPr>
                <w:lang w:val="id-ID"/>
              </w:rPr>
              <w:t>The quality control partner must test the quality control procedures at least annually to ensure the firm is in compliance/</w:t>
            </w:r>
          </w:p>
        </w:tc>
      </w:tr>
    </w:tbl>
    <w:p w:rsidR="00483F13" w:rsidRDefault="00483F13" w:rsidP="00483F13">
      <w:pPr>
        <w:ind w:left="0" w:firstLine="0"/>
        <w:jc w:val="left"/>
        <w:rPr>
          <w:lang w:val="id-ID"/>
        </w:rPr>
      </w:pPr>
    </w:p>
    <w:p w:rsidR="00483F13" w:rsidRPr="00DD7DBD" w:rsidRDefault="00483F13" w:rsidP="00483F13">
      <w:pPr>
        <w:ind w:left="0" w:firstLine="0"/>
        <w:jc w:val="left"/>
        <w:rPr>
          <w:lang w:val="id-ID"/>
        </w:rPr>
      </w:pPr>
    </w:p>
    <w:p w:rsidR="00483F13" w:rsidRDefault="00483F13" w:rsidP="00483F13">
      <w:pPr>
        <w:rPr>
          <w:lang w:val="id-ID"/>
        </w:rPr>
      </w:pPr>
      <w:r>
        <w:rPr>
          <w:lang w:val="id-ID"/>
        </w:rPr>
        <w:t>****</w:t>
      </w:r>
    </w:p>
    <w:p w:rsidR="00483F13" w:rsidRDefault="00483F13" w:rsidP="00483F13">
      <w:pPr>
        <w:rPr>
          <w:lang w:val="id-ID"/>
        </w:rPr>
      </w:pPr>
    </w:p>
    <w:p w:rsidR="00483F13" w:rsidRDefault="00483F13" w:rsidP="00864289">
      <w:pPr>
        <w:jc w:val="left"/>
        <w:rPr>
          <w:lang w:val="id-ID"/>
        </w:rPr>
      </w:pPr>
    </w:p>
    <w:p w:rsidR="00483F13" w:rsidRPr="00864289" w:rsidRDefault="00483F13" w:rsidP="00864289">
      <w:pPr>
        <w:jc w:val="left"/>
        <w:rPr>
          <w:lang w:val="id-ID"/>
        </w:rPr>
      </w:pPr>
    </w:p>
    <w:p w:rsidR="00864289" w:rsidRPr="00864289" w:rsidRDefault="00864289" w:rsidP="00864289">
      <w:pPr>
        <w:pStyle w:val="ListParagraph"/>
        <w:ind w:left="360" w:firstLine="0"/>
        <w:jc w:val="left"/>
        <w:rPr>
          <w:lang w:val="id-ID"/>
        </w:rPr>
      </w:pPr>
    </w:p>
    <w:p w:rsidR="00C6206C" w:rsidRDefault="00C6206C" w:rsidP="00C6206C">
      <w:pPr>
        <w:ind w:left="0" w:firstLine="0"/>
        <w:jc w:val="left"/>
        <w:rPr>
          <w:lang w:val="id-ID"/>
        </w:rPr>
      </w:pPr>
    </w:p>
    <w:p w:rsidR="00C6206C" w:rsidRPr="00C6206C" w:rsidRDefault="00C6206C" w:rsidP="00C6206C">
      <w:pPr>
        <w:ind w:left="0" w:firstLine="0"/>
        <w:jc w:val="left"/>
        <w:rPr>
          <w:lang w:val="id-ID"/>
        </w:rPr>
      </w:pPr>
    </w:p>
    <w:p w:rsidR="00C6206C" w:rsidRDefault="00C6206C" w:rsidP="00705942">
      <w:pPr>
        <w:jc w:val="left"/>
      </w:pPr>
    </w:p>
    <w:p w:rsidR="00705942" w:rsidRDefault="00705942" w:rsidP="00705942">
      <w:pPr>
        <w:jc w:val="left"/>
      </w:pPr>
    </w:p>
    <w:p w:rsidR="00705942" w:rsidRDefault="00705942" w:rsidP="00705942">
      <w:pPr>
        <w:jc w:val="left"/>
      </w:pPr>
    </w:p>
    <w:p w:rsidR="006A79E5" w:rsidRDefault="006A79E5"/>
    <w:p w:rsidR="006A79E5" w:rsidRDefault="006A79E5" w:rsidP="006A79E5">
      <w:pPr>
        <w:jc w:val="left"/>
      </w:pPr>
    </w:p>
    <w:p w:rsidR="006A79E5" w:rsidRDefault="006A79E5"/>
    <w:p w:rsidR="006A79E5" w:rsidRDefault="006A79E5"/>
    <w:sectPr w:rsidR="006A79E5" w:rsidSect="002818C9">
      <w:footerReference w:type="default" r:id="rId7"/>
      <w:pgSz w:w="12240" w:h="15840"/>
      <w:pgMar w:top="1440" w:right="1440" w:bottom="1440" w:left="1440" w:header="720" w:footer="10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63" w:rsidRDefault="00054C63" w:rsidP="002818C9">
      <w:r>
        <w:separator/>
      </w:r>
    </w:p>
  </w:endnote>
  <w:endnote w:type="continuationSeparator" w:id="0">
    <w:p w:rsidR="00054C63" w:rsidRDefault="00054C63" w:rsidP="0028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C9" w:rsidRDefault="002818C9" w:rsidP="002818C9">
    <w:pPr>
      <w:pStyle w:val="Footer"/>
      <w:pBdr>
        <w:top w:val="single" w:sz="4" w:space="1" w:color="auto"/>
      </w:pBdr>
    </w:pP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CD4661" w:rsidRPr="00CD4661">
      <w:rPr>
        <w:b/>
        <w:bCs/>
        <w:noProof/>
      </w:rPr>
      <w:t>10</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63" w:rsidRDefault="00054C63" w:rsidP="002818C9">
      <w:r>
        <w:separator/>
      </w:r>
    </w:p>
  </w:footnote>
  <w:footnote w:type="continuationSeparator" w:id="0">
    <w:p w:rsidR="00054C63" w:rsidRDefault="00054C63" w:rsidP="00281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CB4"/>
    <w:multiLevelType w:val="hybridMultilevel"/>
    <w:tmpl w:val="6222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6F7D1C"/>
    <w:multiLevelType w:val="hybridMultilevel"/>
    <w:tmpl w:val="EFBA4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D3289"/>
    <w:multiLevelType w:val="hybridMultilevel"/>
    <w:tmpl w:val="C1E27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C3A73"/>
    <w:multiLevelType w:val="hybridMultilevel"/>
    <w:tmpl w:val="0982123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181B7C2E"/>
    <w:multiLevelType w:val="hybridMultilevel"/>
    <w:tmpl w:val="A1E8BEA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19644F0B"/>
    <w:multiLevelType w:val="hybridMultilevel"/>
    <w:tmpl w:val="25CEB5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D19049E"/>
    <w:multiLevelType w:val="hybridMultilevel"/>
    <w:tmpl w:val="81422C3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EC23B84"/>
    <w:multiLevelType w:val="hybridMultilevel"/>
    <w:tmpl w:val="E67A68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04416CF"/>
    <w:multiLevelType w:val="hybridMultilevel"/>
    <w:tmpl w:val="8648D7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22512BB"/>
    <w:multiLevelType w:val="hybridMultilevel"/>
    <w:tmpl w:val="90629F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4603CDE"/>
    <w:multiLevelType w:val="hybridMultilevel"/>
    <w:tmpl w:val="A44222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4FF01F8"/>
    <w:multiLevelType w:val="hybridMultilevel"/>
    <w:tmpl w:val="89E6D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6976F0"/>
    <w:multiLevelType w:val="hybridMultilevel"/>
    <w:tmpl w:val="2C148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DA5DC5"/>
    <w:multiLevelType w:val="hybridMultilevel"/>
    <w:tmpl w:val="3A32F8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A0D7D51"/>
    <w:multiLevelType w:val="hybridMultilevel"/>
    <w:tmpl w:val="CE5E94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6337689"/>
    <w:multiLevelType w:val="hybridMultilevel"/>
    <w:tmpl w:val="7A58DF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78A6482"/>
    <w:multiLevelType w:val="hybridMultilevel"/>
    <w:tmpl w:val="24228F7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3A103FD2"/>
    <w:multiLevelType w:val="hybridMultilevel"/>
    <w:tmpl w:val="56348C6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3CBF18CE"/>
    <w:multiLevelType w:val="hybridMultilevel"/>
    <w:tmpl w:val="9DA8B38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nsid w:val="3EBC66D6"/>
    <w:multiLevelType w:val="hybridMultilevel"/>
    <w:tmpl w:val="F0C2FC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4CC02E95"/>
    <w:multiLevelType w:val="hybridMultilevel"/>
    <w:tmpl w:val="90D23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4728D1"/>
    <w:multiLevelType w:val="hybridMultilevel"/>
    <w:tmpl w:val="44B41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387123"/>
    <w:multiLevelType w:val="hybridMultilevel"/>
    <w:tmpl w:val="5A5007E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6EED4CB6"/>
    <w:multiLevelType w:val="hybridMultilevel"/>
    <w:tmpl w:val="5AE2E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7E5BEE"/>
    <w:multiLevelType w:val="hybridMultilevel"/>
    <w:tmpl w:val="F8706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4A4769"/>
    <w:multiLevelType w:val="hybridMultilevel"/>
    <w:tmpl w:val="94DEB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4"/>
  </w:num>
  <w:num w:numId="3">
    <w:abstractNumId w:val="1"/>
  </w:num>
  <w:num w:numId="4">
    <w:abstractNumId w:val="11"/>
  </w:num>
  <w:num w:numId="5">
    <w:abstractNumId w:val="0"/>
  </w:num>
  <w:num w:numId="6">
    <w:abstractNumId w:val="12"/>
  </w:num>
  <w:num w:numId="7">
    <w:abstractNumId w:val="23"/>
  </w:num>
  <w:num w:numId="8">
    <w:abstractNumId w:val="21"/>
  </w:num>
  <w:num w:numId="9">
    <w:abstractNumId w:val="20"/>
  </w:num>
  <w:num w:numId="10">
    <w:abstractNumId w:val="25"/>
  </w:num>
  <w:num w:numId="11">
    <w:abstractNumId w:val="15"/>
  </w:num>
  <w:num w:numId="12">
    <w:abstractNumId w:val="8"/>
  </w:num>
  <w:num w:numId="13">
    <w:abstractNumId w:val="13"/>
  </w:num>
  <w:num w:numId="14">
    <w:abstractNumId w:val="5"/>
  </w:num>
  <w:num w:numId="15">
    <w:abstractNumId w:val="9"/>
  </w:num>
  <w:num w:numId="16">
    <w:abstractNumId w:val="6"/>
  </w:num>
  <w:num w:numId="17">
    <w:abstractNumId w:val="10"/>
  </w:num>
  <w:num w:numId="18">
    <w:abstractNumId w:val="14"/>
  </w:num>
  <w:num w:numId="19">
    <w:abstractNumId w:val="7"/>
  </w:num>
  <w:num w:numId="20">
    <w:abstractNumId w:val="19"/>
  </w:num>
  <w:num w:numId="21">
    <w:abstractNumId w:val="22"/>
  </w:num>
  <w:num w:numId="22">
    <w:abstractNumId w:val="16"/>
  </w:num>
  <w:num w:numId="23">
    <w:abstractNumId w:val="18"/>
  </w:num>
  <w:num w:numId="24">
    <w:abstractNumId w:val="4"/>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E5"/>
    <w:rsid w:val="00002A83"/>
    <w:rsid w:val="00034F11"/>
    <w:rsid w:val="00054C63"/>
    <w:rsid w:val="000637FB"/>
    <w:rsid w:val="0009622A"/>
    <w:rsid w:val="0009725B"/>
    <w:rsid w:val="00187641"/>
    <w:rsid w:val="001A6AE4"/>
    <w:rsid w:val="001B6000"/>
    <w:rsid w:val="001E2A3D"/>
    <w:rsid w:val="00202E0B"/>
    <w:rsid w:val="00272BB3"/>
    <w:rsid w:val="00275CEF"/>
    <w:rsid w:val="002818C9"/>
    <w:rsid w:val="002B26EC"/>
    <w:rsid w:val="002E5558"/>
    <w:rsid w:val="002F0781"/>
    <w:rsid w:val="00327A7B"/>
    <w:rsid w:val="003719D4"/>
    <w:rsid w:val="00377099"/>
    <w:rsid w:val="0041628C"/>
    <w:rsid w:val="004610E2"/>
    <w:rsid w:val="00483F13"/>
    <w:rsid w:val="004C0F4A"/>
    <w:rsid w:val="004E19F1"/>
    <w:rsid w:val="00513BA1"/>
    <w:rsid w:val="00564ED5"/>
    <w:rsid w:val="0068028A"/>
    <w:rsid w:val="00685211"/>
    <w:rsid w:val="00696A82"/>
    <w:rsid w:val="006A79E5"/>
    <w:rsid w:val="006C45A2"/>
    <w:rsid w:val="006E1A38"/>
    <w:rsid w:val="007012FA"/>
    <w:rsid w:val="00705942"/>
    <w:rsid w:val="007210F6"/>
    <w:rsid w:val="00794F54"/>
    <w:rsid w:val="007F585B"/>
    <w:rsid w:val="007F7EED"/>
    <w:rsid w:val="00864289"/>
    <w:rsid w:val="00871349"/>
    <w:rsid w:val="00875225"/>
    <w:rsid w:val="009047D9"/>
    <w:rsid w:val="00957437"/>
    <w:rsid w:val="00981118"/>
    <w:rsid w:val="009922A9"/>
    <w:rsid w:val="009B4452"/>
    <w:rsid w:val="009C7CAD"/>
    <w:rsid w:val="009D0466"/>
    <w:rsid w:val="009D19D9"/>
    <w:rsid w:val="009D3C5B"/>
    <w:rsid w:val="00A003A5"/>
    <w:rsid w:val="00A11224"/>
    <w:rsid w:val="00A41878"/>
    <w:rsid w:val="00AD2B26"/>
    <w:rsid w:val="00AF6682"/>
    <w:rsid w:val="00BC1EF5"/>
    <w:rsid w:val="00BE036B"/>
    <w:rsid w:val="00C047A4"/>
    <w:rsid w:val="00C30CC3"/>
    <w:rsid w:val="00C6206C"/>
    <w:rsid w:val="00C944F5"/>
    <w:rsid w:val="00CD4661"/>
    <w:rsid w:val="00D42839"/>
    <w:rsid w:val="00D6495C"/>
    <w:rsid w:val="00D86348"/>
    <w:rsid w:val="00DD7DBD"/>
    <w:rsid w:val="00E06A8B"/>
    <w:rsid w:val="00E37565"/>
    <w:rsid w:val="00E65742"/>
    <w:rsid w:val="00EA2641"/>
    <w:rsid w:val="00EB2702"/>
    <w:rsid w:val="00FA1F0C"/>
    <w:rsid w:val="00FA6DA4"/>
    <w:rsid w:val="00FB0107"/>
    <w:rsid w:val="00FE3473"/>
    <w:rsid w:val="00F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BBB9E1-07D0-467D-B772-A418557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907" w:hanging="90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58"/>
    <w:pPr>
      <w:ind w:left="720"/>
      <w:contextualSpacing/>
    </w:pPr>
  </w:style>
  <w:style w:type="paragraph" w:styleId="Header">
    <w:name w:val="header"/>
    <w:basedOn w:val="Normal"/>
    <w:link w:val="HeaderChar"/>
    <w:uiPriority w:val="99"/>
    <w:unhideWhenUsed/>
    <w:rsid w:val="002818C9"/>
    <w:pPr>
      <w:tabs>
        <w:tab w:val="center" w:pos="4680"/>
        <w:tab w:val="right" w:pos="9360"/>
      </w:tabs>
    </w:pPr>
  </w:style>
  <w:style w:type="character" w:customStyle="1" w:styleId="HeaderChar">
    <w:name w:val="Header Char"/>
    <w:basedOn w:val="DefaultParagraphFont"/>
    <w:link w:val="Header"/>
    <w:uiPriority w:val="99"/>
    <w:rsid w:val="002818C9"/>
  </w:style>
  <w:style w:type="paragraph" w:styleId="Footer">
    <w:name w:val="footer"/>
    <w:basedOn w:val="Normal"/>
    <w:link w:val="FooterChar"/>
    <w:uiPriority w:val="99"/>
    <w:unhideWhenUsed/>
    <w:rsid w:val="002818C9"/>
    <w:pPr>
      <w:tabs>
        <w:tab w:val="center" w:pos="4680"/>
        <w:tab w:val="right" w:pos="9360"/>
      </w:tabs>
    </w:pPr>
  </w:style>
  <w:style w:type="character" w:customStyle="1" w:styleId="FooterChar">
    <w:name w:val="Footer Char"/>
    <w:basedOn w:val="DefaultParagraphFont"/>
    <w:link w:val="Footer"/>
    <w:uiPriority w:val="99"/>
    <w:rsid w:val="002818C9"/>
  </w:style>
  <w:style w:type="table" w:styleId="TableGrid">
    <w:name w:val="Table Grid"/>
    <w:basedOn w:val="TableNormal"/>
    <w:uiPriority w:val="39"/>
    <w:rsid w:val="00C30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SAMSUNG</cp:lastModifiedBy>
  <cp:revision>2</cp:revision>
  <dcterms:created xsi:type="dcterms:W3CDTF">2016-03-18T07:51:00Z</dcterms:created>
  <dcterms:modified xsi:type="dcterms:W3CDTF">2016-03-18T07:51:00Z</dcterms:modified>
</cp:coreProperties>
</file>